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63" w:type="dxa"/>
        <w:tblInd w:w="9" w:type="dxa"/>
        <w:tblLook w:val="0000" w:firstRow="0" w:lastRow="0" w:firstColumn="0" w:lastColumn="0" w:noHBand="0" w:noVBand="0"/>
      </w:tblPr>
      <w:tblGrid>
        <w:gridCol w:w="8363"/>
      </w:tblGrid>
      <w:tr w:rsidR="00036227" w:rsidTr="00FE5C83">
        <w:tc>
          <w:tcPr>
            <w:tcW w:w="8363" w:type="dxa"/>
          </w:tcPr>
          <w:p w:rsidR="00916FF8" w:rsidRPr="00624A42" w:rsidRDefault="00F01D37" w:rsidP="004C7868">
            <w:pPr>
              <w:pStyle w:val="FileNumber0"/>
              <w:rPr>
                <w:sz w:val="28"/>
                <w:u w:val="single"/>
                <w:rtl/>
              </w:rPr>
            </w:pPr>
            <w:r>
              <w:rPr>
                <w:u w:val="single"/>
                <w:rtl/>
              </w:rPr>
              <w:t>בבית המשפט העליון</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F01D37">
            <w:pPr>
              <w:pStyle w:val="FileNumber"/>
              <w:rPr>
                <w:sz w:val="28"/>
                <w:szCs w:val="28"/>
              </w:rPr>
            </w:pPr>
            <w:bookmarkStart w:id="0" w:name="casename_body"/>
            <w:r>
              <w:rPr>
                <w:sz w:val="28"/>
                <w:szCs w:val="28"/>
                <w:rtl/>
              </w:rPr>
              <w:t>בע"מ  4075/22</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F01D37">
            <w:pPr>
              <w:pStyle w:val="BodyRuller"/>
            </w:pPr>
            <w:r>
              <w:rPr>
                <w:rtl/>
              </w:rPr>
              <w:t>כבוד השופט א' שטיין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523686" w:rsidTr="00E2305E">
        <w:trPr>
          <w:trHeight w:val="287"/>
        </w:trPr>
        <w:tc>
          <w:tcPr>
            <w:tcW w:w="3261" w:type="dxa"/>
          </w:tcPr>
          <w:p w:rsidR="00523686" w:rsidRPr="00523686" w:rsidRDefault="00F01D37" w:rsidP="00E2305E">
            <w:pPr>
              <w:pStyle w:val="BodyRuller"/>
              <w:rPr>
                <w:rFonts w:ascii="David" w:hAnsi="David"/>
              </w:rPr>
            </w:pPr>
            <w:r>
              <w:rPr>
                <w:rFonts w:ascii="David" w:hAnsi="David"/>
                <w:rtl/>
              </w:rPr>
              <w:t>המבקשים:</w:t>
            </w:r>
          </w:p>
        </w:tc>
        <w:tc>
          <w:tcPr>
            <w:tcW w:w="5239" w:type="dxa"/>
          </w:tcPr>
          <w:p w:rsidR="00523686" w:rsidRDefault="00F01D37" w:rsidP="00E2305E">
            <w:pPr>
              <w:pStyle w:val="BodyRuller"/>
            </w:pPr>
            <w:r>
              <w:rPr>
                <w:rtl/>
              </w:rPr>
              <w:t>1. פלוני</w:t>
            </w:r>
            <w:r w:rsidR="00C912D7">
              <w:rPr>
                <w:rFonts w:hint="cs"/>
                <w:rtl/>
              </w:rPr>
              <w:t>ת</w:t>
            </w:r>
          </w:p>
        </w:tc>
      </w:tr>
      <w:tr w:rsidR="00F01D37" w:rsidTr="00E2305E">
        <w:trPr>
          <w:trHeight w:val="287"/>
        </w:trPr>
        <w:tc>
          <w:tcPr>
            <w:tcW w:w="3261" w:type="dxa"/>
          </w:tcPr>
          <w:p w:rsidR="00F01D37" w:rsidRDefault="00F01D37" w:rsidP="00E2305E">
            <w:pPr>
              <w:pStyle w:val="BodyRuller"/>
              <w:rPr>
                <w:rFonts w:ascii="David" w:hAnsi="David"/>
                <w:rtl/>
              </w:rPr>
            </w:pPr>
          </w:p>
        </w:tc>
        <w:tc>
          <w:tcPr>
            <w:tcW w:w="5239" w:type="dxa"/>
          </w:tcPr>
          <w:p w:rsidR="00F01D37" w:rsidRDefault="00F01D37" w:rsidP="00E2305E">
            <w:pPr>
              <w:pStyle w:val="BodyRuller"/>
              <w:rPr>
                <w:rtl/>
              </w:rPr>
            </w:pPr>
            <w:r>
              <w:rPr>
                <w:rtl/>
              </w:rPr>
              <w:t>2. פלוני</w:t>
            </w:r>
          </w:p>
        </w:tc>
      </w:tr>
    </w:tbl>
    <w:p w:rsidR="00916FF8" w:rsidRDefault="00916FF8">
      <w:pPr>
        <w:pStyle w:val="Ruller3"/>
      </w:pPr>
      <w:r>
        <w:tab/>
      </w: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rPr>
                <w:rtl/>
              </w:rP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r>
        <w:tab/>
      </w:r>
      <w:r>
        <w:tab/>
      </w:r>
      <w:r>
        <w:tab/>
        <w:t xml:space="preserve">     </w:t>
      </w:r>
    </w:p>
    <w:tbl>
      <w:tblPr>
        <w:bidiVisual/>
        <w:tblW w:w="8364" w:type="dxa"/>
        <w:tblLayout w:type="fixed"/>
        <w:tblLook w:val="0000" w:firstRow="0" w:lastRow="0" w:firstColumn="0" w:lastColumn="0" w:noHBand="0" w:noVBand="0"/>
      </w:tblPr>
      <w:tblGrid>
        <w:gridCol w:w="3210"/>
        <w:gridCol w:w="5154"/>
      </w:tblGrid>
      <w:tr w:rsidR="00523686" w:rsidTr="00E2305E">
        <w:trPr>
          <w:trHeight w:val="287"/>
        </w:trPr>
        <w:tc>
          <w:tcPr>
            <w:tcW w:w="3261" w:type="dxa"/>
          </w:tcPr>
          <w:p w:rsidR="00523686" w:rsidRPr="00523686" w:rsidRDefault="00F01D37" w:rsidP="00E2305E">
            <w:pPr>
              <w:pStyle w:val="BodyRuller"/>
              <w:rPr>
                <w:rFonts w:ascii="David" w:hAnsi="David"/>
              </w:rPr>
            </w:pPr>
            <w:r>
              <w:rPr>
                <w:rFonts w:ascii="David" w:hAnsi="David"/>
                <w:rtl/>
              </w:rPr>
              <w:t>המשיב</w:t>
            </w:r>
            <w:r w:rsidR="00BA42A5">
              <w:rPr>
                <w:rFonts w:ascii="David" w:hAnsi="David" w:hint="cs"/>
                <w:rtl/>
              </w:rPr>
              <w:t>ה</w:t>
            </w:r>
            <w:r>
              <w:rPr>
                <w:rFonts w:ascii="David" w:hAnsi="David"/>
                <w:rtl/>
              </w:rPr>
              <w:t>:</w:t>
            </w:r>
          </w:p>
        </w:tc>
        <w:tc>
          <w:tcPr>
            <w:tcW w:w="5239" w:type="dxa"/>
          </w:tcPr>
          <w:p w:rsidR="00523686" w:rsidRDefault="00F01D37" w:rsidP="00E2305E">
            <w:pPr>
              <w:pStyle w:val="BodyRuller"/>
            </w:pPr>
            <w:r>
              <w:rPr>
                <w:rtl/>
              </w:rPr>
              <w:t>לשכת הרווחה אילת</w:t>
            </w:r>
          </w:p>
        </w:tc>
      </w:tr>
    </w:tbl>
    <w:p w:rsidR="00916FF8" w:rsidRDefault="00E36FE9">
      <w:pPr>
        <w:pStyle w:val="Ruller3"/>
      </w:pPr>
      <w:r>
        <w:rPr>
          <w:rFonts w:hint="cs"/>
          <w:rtl/>
        </w:rPr>
        <w:tab/>
      </w: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C912D7" w:rsidP="00ED54A6">
            <w:pPr>
              <w:pStyle w:val="BodyRuller"/>
              <w:jc w:val="both"/>
              <w:rPr>
                <w:sz w:val="24"/>
                <w:szCs w:val="24"/>
              </w:rPr>
            </w:pPr>
            <w:r>
              <w:rPr>
                <w:rFonts w:hint="cs"/>
                <w:sz w:val="24"/>
                <w:szCs w:val="24"/>
                <w:rtl/>
              </w:rPr>
              <w:t>ב</w:t>
            </w:r>
            <w:r w:rsidR="00F01D37">
              <w:rPr>
                <w:sz w:val="24"/>
                <w:szCs w:val="24"/>
                <w:rtl/>
              </w:rPr>
              <w:t xml:space="preserve">קשת רשות ערעור על </w:t>
            </w:r>
            <w:r>
              <w:rPr>
                <w:rFonts w:hint="cs"/>
                <w:sz w:val="24"/>
                <w:szCs w:val="24"/>
                <w:rtl/>
              </w:rPr>
              <w:t>פסק דינו</w:t>
            </w:r>
            <w:r w:rsidR="00F01D37">
              <w:rPr>
                <w:sz w:val="24"/>
                <w:szCs w:val="24"/>
                <w:rtl/>
              </w:rPr>
              <w:t xml:space="preserve"> </w:t>
            </w:r>
            <w:r>
              <w:rPr>
                <w:rFonts w:hint="cs"/>
                <w:sz w:val="24"/>
                <w:szCs w:val="24"/>
                <w:rtl/>
              </w:rPr>
              <w:t xml:space="preserve">של </w:t>
            </w:r>
            <w:r w:rsidR="00F01D37">
              <w:rPr>
                <w:sz w:val="24"/>
                <w:szCs w:val="24"/>
                <w:rtl/>
              </w:rPr>
              <w:t xml:space="preserve">בית המשפט המחוזי באר שבע </w:t>
            </w:r>
            <w:r>
              <w:rPr>
                <w:rFonts w:hint="cs"/>
                <w:sz w:val="24"/>
                <w:szCs w:val="24"/>
                <w:rtl/>
              </w:rPr>
              <w:t>(השופט א</w:t>
            </w:r>
            <w:r w:rsidR="00FE5C83">
              <w:rPr>
                <w:rFonts w:hint="cs"/>
                <w:sz w:val="24"/>
                <w:szCs w:val="24"/>
                <w:rtl/>
              </w:rPr>
              <w:t>'</w:t>
            </w:r>
            <w:r>
              <w:rPr>
                <w:rFonts w:hint="cs"/>
                <w:sz w:val="24"/>
                <w:szCs w:val="24"/>
                <w:rtl/>
              </w:rPr>
              <w:t xml:space="preserve"> ואגו, </w:t>
            </w:r>
            <w:proofErr w:type="spellStart"/>
            <w:r>
              <w:rPr>
                <w:rFonts w:hint="cs"/>
                <w:sz w:val="24"/>
                <w:szCs w:val="24"/>
                <w:rtl/>
              </w:rPr>
              <w:t>ס"נ</w:t>
            </w:r>
            <w:proofErr w:type="spellEnd"/>
            <w:r>
              <w:rPr>
                <w:rFonts w:hint="cs"/>
                <w:sz w:val="24"/>
                <w:szCs w:val="24"/>
                <w:rtl/>
              </w:rPr>
              <w:t>) שניתן ב</w:t>
            </w:r>
            <w:r w:rsidR="00F01D37">
              <w:rPr>
                <w:sz w:val="24"/>
                <w:szCs w:val="24"/>
                <w:rtl/>
              </w:rPr>
              <w:t xml:space="preserve">יום 14.6.2022 </w:t>
            </w:r>
            <w:proofErr w:type="spellStart"/>
            <w:r w:rsidR="00F01D37">
              <w:rPr>
                <w:sz w:val="24"/>
                <w:szCs w:val="24"/>
                <w:rtl/>
              </w:rPr>
              <w:t>בענ</w:t>
            </w:r>
            <w:r>
              <w:rPr>
                <w:rFonts w:hint="cs"/>
                <w:sz w:val="24"/>
                <w:szCs w:val="24"/>
                <w:rtl/>
              </w:rPr>
              <w:t>"</w:t>
            </w:r>
            <w:r w:rsidR="00F01D37">
              <w:rPr>
                <w:sz w:val="24"/>
                <w:szCs w:val="24"/>
                <w:rtl/>
              </w:rPr>
              <w:t>א</w:t>
            </w:r>
            <w:proofErr w:type="spellEnd"/>
            <w:r w:rsidR="00F01D37">
              <w:rPr>
                <w:sz w:val="24"/>
                <w:szCs w:val="24"/>
                <w:rtl/>
              </w:rPr>
              <w:t xml:space="preserve"> 29535-06-22</w:t>
            </w:r>
          </w:p>
        </w:tc>
      </w:tr>
    </w:tbl>
    <w:p w:rsidR="00916FF8" w:rsidRDefault="00E36FE9">
      <w:pPr>
        <w:pStyle w:val="Ruller3"/>
        <w:rPr>
          <w:rtl/>
        </w:rPr>
      </w:pPr>
      <w:r>
        <w:rPr>
          <w:rFonts w:hint="cs"/>
          <w:rtl/>
        </w:rPr>
        <w:tab/>
      </w:r>
    </w:p>
    <w:tbl>
      <w:tblPr>
        <w:bidiVisual/>
        <w:tblW w:w="8364" w:type="dxa"/>
        <w:tblLayout w:type="fixed"/>
        <w:tblLook w:val="0000" w:firstRow="0" w:lastRow="0" w:firstColumn="0" w:lastColumn="0" w:noHBand="0" w:noVBand="0"/>
      </w:tblPr>
      <w:tblGrid>
        <w:gridCol w:w="3210"/>
        <w:gridCol w:w="5154"/>
      </w:tblGrid>
      <w:tr w:rsidR="00BA42A5" w:rsidTr="003D59E5">
        <w:trPr>
          <w:trHeight w:val="287"/>
        </w:trPr>
        <w:tc>
          <w:tcPr>
            <w:tcW w:w="3261" w:type="dxa"/>
          </w:tcPr>
          <w:p w:rsidR="00BA42A5" w:rsidRPr="00523686" w:rsidRDefault="00BA42A5" w:rsidP="003D59E5">
            <w:pPr>
              <w:pStyle w:val="BodyRuller"/>
              <w:rPr>
                <w:rFonts w:ascii="David" w:hAnsi="David"/>
              </w:rPr>
            </w:pPr>
            <w:r>
              <w:rPr>
                <w:rFonts w:ascii="David" w:hAnsi="David" w:hint="cs"/>
                <w:rtl/>
              </w:rPr>
              <w:t xml:space="preserve">בשם </w:t>
            </w:r>
            <w:r>
              <w:rPr>
                <w:rFonts w:ascii="David" w:hAnsi="David"/>
                <w:rtl/>
              </w:rPr>
              <w:t>המבקשים:</w:t>
            </w:r>
          </w:p>
        </w:tc>
        <w:tc>
          <w:tcPr>
            <w:tcW w:w="5239" w:type="dxa"/>
          </w:tcPr>
          <w:p w:rsidR="00BA42A5" w:rsidRDefault="00BA42A5" w:rsidP="003D59E5">
            <w:pPr>
              <w:pStyle w:val="BodyRuller"/>
            </w:pPr>
            <w:r>
              <w:rPr>
                <w:rFonts w:hint="cs"/>
                <w:rtl/>
              </w:rPr>
              <w:t>עו"ד יוסף בדש</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BA42A5" w:rsidTr="003D59E5">
        <w:trPr>
          <w:trHeight w:val="287"/>
        </w:trPr>
        <w:tc>
          <w:tcPr>
            <w:tcW w:w="3261" w:type="dxa"/>
          </w:tcPr>
          <w:p w:rsidR="00BA42A5" w:rsidRPr="00523686" w:rsidRDefault="00BA42A5" w:rsidP="003D59E5">
            <w:pPr>
              <w:pStyle w:val="BodyRuller"/>
              <w:rPr>
                <w:rFonts w:ascii="David" w:hAnsi="David"/>
              </w:rPr>
            </w:pPr>
            <w:r>
              <w:rPr>
                <w:rFonts w:ascii="David" w:hAnsi="David" w:hint="cs"/>
                <w:rtl/>
              </w:rPr>
              <w:t>בשם המשיבה</w:t>
            </w:r>
            <w:r>
              <w:rPr>
                <w:rFonts w:ascii="David" w:hAnsi="David"/>
                <w:rtl/>
              </w:rPr>
              <w:t>:</w:t>
            </w:r>
          </w:p>
        </w:tc>
        <w:tc>
          <w:tcPr>
            <w:tcW w:w="5239" w:type="dxa"/>
          </w:tcPr>
          <w:p w:rsidR="00BA42A5" w:rsidRDefault="00BA42A5" w:rsidP="003D59E5">
            <w:pPr>
              <w:pStyle w:val="BodyRuller"/>
            </w:pPr>
            <w:r>
              <w:rPr>
                <w:rFonts w:hint="cs"/>
                <w:rtl/>
              </w:rPr>
              <w:t xml:space="preserve">עו"ד </w:t>
            </w:r>
            <w:proofErr w:type="spellStart"/>
            <w:r>
              <w:rPr>
                <w:rFonts w:hint="cs"/>
                <w:rtl/>
              </w:rPr>
              <w:t>יסכה</w:t>
            </w:r>
            <w:proofErr w:type="spellEnd"/>
            <w:r>
              <w:rPr>
                <w:rFonts w:hint="cs"/>
                <w:rtl/>
              </w:rPr>
              <w:t xml:space="preserve"> פישר-יוסף</w:t>
            </w:r>
          </w:p>
        </w:tc>
      </w:tr>
    </w:tbl>
    <w:p w:rsidR="00BA42A5" w:rsidRDefault="00BA42A5">
      <w:pPr>
        <w:pStyle w:val="Ruller3"/>
      </w:pPr>
    </w:p>
    <w:tbl>
      <w:tblPr>
        <w:bidiVisual/>
        <w:tblW w:w="8363" w:type="dxa"/>
        <w:tblLook w:val="0000" w:firstRow="0" w:lastRow="0" w:firstColumn="0" w:lastColumn="0" w:noHBand="0" w:noVBand="0"/>
      </w:tblPr>
      <w:tblGrid>
        <w:gridCol w:w="8363"/>
      </w:tblGrid>
      <w:tr w:rsidR="00036227" w:rsidTr="00FE5C83">
        <w:tc>
          <w:tcPr>
            <w:tcW w:w="8363" w:type="dxa"/>
          </w:tcPr>
          <w:p w:rsidR="00916FF8" w:rsidRDefault="00F01D37">
            <w:pPr>
              <w:pStyle w:val="DocumentHead"/>
            </w:pPr>
            <w:bookmarkStart w:id="1" w:name="secretary"/>
            <w:bookmarkStart w:id="2" w:name="BeginProtocol"/>
            <w:bookmarkEnd w:id="1"/>
            <w:bookmarkEnd w:id="2"/>
            <w:r>
              <w:rPr>
                <w:rtl/>
              </w:rPr>
              <w:t>החלטה</w:t>
            </w:r>
          </w:p>
        </w:tc>
      </w:tr>
    </w:tbl>
    <w:p w:rsidR="00916FF8" w:rsidRPr="00503A3E" w:rsidRDefault="00916FF8">
      <w:pPr>
        <w:pStyle w:val="BODYVERDICT"/>
        <w:rPr>
          <w:rFonts w:cs="Miriam"/>
          <w:sz w:val="24"/>
          <w:szCs w:val="24"/>
          <w:u w:val="single"/>
          <w:rtl/>
        </w:rPr>
      </w:pPr>
      <w:bookmarkStart w:id="3" w:name="Writer_Name"/>
      <w:bookmarkEnd w:id="3"/>
    </w:p>
    <w:p w:rsidR="00C912D7" w:rsidRPr="00D952B7" w:rsidRDefault="00C912D7" w:rsidP="00C912D7">
      <w:pPr>
        <w:rPr>
          <w:b/>
          <w:bCs/>
          <w:u w:val="single"/>
          <w:rtl/>
        </w:rPr>
      </w:pPr>
      <w:bookmarkStart w:id="4" w:name="Start_Write"/>
      <w:bookmarkEnd w:id="4"/>
    </w:p>
    <w:p w:rsidR="00C912D7" w:rsidRDefault="00C912D7" w:rsidP="00C912D7">
      <w:pPr>
        <w:pStyle w:val="Ruller4"/>
      </w:pPr>
      <w:r>
        <w:rPr>
          <w:rFonts w:hint="cs"/>
          <w:rtl/>
        </w:rPr>
        <w:t xml:space="preserve">לפניי בקשת רשות ערעור על פסק דינו של בית המשפט המחוזי באר שבע בשבתו כבית משפט לנוער (השופט </w:t>
      </w:r>
      <w:r w:rsidRPr="00E63FED">
        <w:rPr>
          <w:rFonts w:ascii="Century" w:hAnsi="Century" w:cs="Miriam" w:hint="cs"/>
          <w:b/>
          <w:spacing w:val="0"/>
          <w:sz w:val="22"/>
          <w:szCs w:val="24"/>
          <w:rtl/>
        </w:rPr>
        <w:t xml:space="preserve">א' </w:t>
      </w:r>
      <w:r>
        <w:rPr>
          <w:rFonts w:ascii="Century" w:hAnsi="Century" w:cs="Miriam" w:hint="cs"/>
          <w:b/>
          <w:spacing w:val="0"/>
          <w:sz w:val="22"/>
          <w:szCs w:val="24"/>
          <w:rtl/>
        </w:rPr>
        <w:t>ואגו</w:t>
      </w:r>
      <w:r w:rsidRPr="0021299F">
        <w:rPr>
          <w:rFonts w:ascii="Century" w:hAnsi="Century" w:hint="cs"/>
          <w:sz w:val="22"/>
          <w:rtl/>
        </w:rPr>
        <w:t xml:space="preserve">, </w:t>
      </w:r>
      <w:proofErr w:type="spellStart"/>
      <w:r w:rsidRPr="0021299F">
        <w:rPr>
          <w:rFonts w:ascii="Century" w:hAnsi="Century" w:hint="cs"/>
          <w:sz w:val="22"/>
          <w:rtl/>
        </w:rPr>
        <w:t>ס"נ</w:t>
      </w:r>
      <w:proofErr w:type="spellEnd"/>
      <w:r>
        <w:rPr>
          <w:rFonts w:hint="cs"/>
          <w:rtl/>
        </w:rPr>
        <w:t xml:space="preserve">) (להלן: </w:t>
      </w:r>
      <w:r w:rsidRPr="00E63FED">
        <w:rPr>
          <w:rFonts w:ascii="Century" w:hAnsi="Century" w:cs="Miriam" w:hint="cs"/>
          <w:b/>
          <w:spacing w:val="0"/>
          <w:sz w:val="22"/>
          <w:szCs w:val="24"/>
          <w:rtl/>
        </w:rPr>
        <w:t>בית המשפט המחוזי</w:t>
      </w:r>
      <w:r>
        <w:rPr>
          <w:rFonts w:hint="cs"/>
          <w:rtl/>
        </w:rPr>
        <w:t xml:space="preserve">) אשר ניתן ביום 14.6.2022 </w:t>
      </w:r>
      <w:proofErr w:type="spellStart"/>
      <w:r>
        <w:rPr>
          <w:rFonts w:hint="cs"/>
          <w:rtl/>
        </w:rPr>
        <w:t>בענ"א</w:t>
      </w:r>
      <w:proofErr w:type="spellEnd"/>
      <w:r>
        <w:rPr>
          <w:rFonts w:hint="cs"/>
          <w:rtl/>
        </w:rPr>
        <w:t xml:space="preserve"> 29535-06-22, ואשר בגדרו נדחה ערעורם של המבקשים על החלטת בית המשפט לנוער אילת (השופט </w:t>
      </w:r>
      <w:r>
        <w:rPr>
          <w:rFonts w:ascii="Century" w:hAnsi="Century" w:cs="Miriam" w:hint="cs"/>
          <w:b/>
          <w:spacing w:val="0"/>
          <w:sz w:val="22"/>
          <w:szCs w:val="24"/>
          <w:rtl/>
        </w:rPr>
        <w:t>ש</w:t>
      </w:r>
      <w:r w:rsidRPr="00E63FED">
        <w:rPr>
          <w:rFonts w:ascii="Century" w:hAnsi="Century" w:cs="Miriam" w:hint="cs"/>
          <w:b/>
          <w:spacing w:val="0"/>
          <w:sz w:val="22"/>
          <w:szCs w:val="24"/>
          <w:rtl/>
        </w:rPr>
        <w:t xml:space="preserve">' </w:t>
      </w:r>
      <w:r>
        <w:rPr>
          <w:rFonts w:ascii="Century" w:hAnsi="Century" w:cs="Miriam" w:hint="cs"/>
          <w:b/>
          <w:spacing w:val="0"/>
          <w:sz w:val="22"/>
          <w:szCs w:val="24"/>
          <w:rtl/>
        </w:rPr>
        <w:t>ברגר</w:t>
      </w:r>
      <w:r>
        <w:rPr>
          <w:rFonts w:hint="cs"/>
          <w:rtl/>
        </w:rPr>
        <w:t xml:space="preserve">) (להלן: </w:t>
      </w:r>
      <w:r w:rsidRPr="00E63FED">
        <w:rPr>
          <w:rFonts w:ascii="Century" w:hAnsi="Century" w:cs="Miriam" w:hint="cs"/>
          <w:b/>
          <w:spacing w:val="0"/>
          <w:sz w:val="22"/>
          <w:szCs w:val="24"/>
          <w:rtl/>
        </w:rPr>
        <w:t xml:space="preserve">בית </w:t>
      </w:r>
      <w:r>
        <w:rPr>
          <w:rFonts w:ascii="Century" w:hAnsi="Century" w:cs="Miriam" w:hint="cs"/>
          <w:b/>
          <w:spacing w:val="0"/>
          <w:sz w:val="22"/>
          <w:szCs w:val="24"/>
          <w:rtl/>
        </w:rPr>
        <w:t>ה</w:t>
      </w:r>
      <w:r w:rsidRPr="00E63FED">
        <w:rPr>
          <w:rFonts w:ascii="Century" w:hAnsi="Century" w:cs="Miriam" w:hint="cs"/>
          <w:b/>
          <w:spacing w:val="0"/>
          <w:sz w:val="22"/>
          <w:szCs w:val="24"/>
          <w:rtl/>
        </w:rPr>
        <w:t xml:space="preserve">משפט </w:t>
      </w:r>
      <w:r>
        <w:rPr>
          <w:rFonts w:ascii="Century" w:hAnsi="Century" w:cs="Miriam" w:hint="cs"/>
          <w:b/>
          <w:spacing w:val="0"/>
          <w:sz w:val="22"/>
          <w:szCs w:val="24"/>
          <w:rtl/>
        </w:rPr>
        <w:t>לנוער</w:t>
      </w:r>
      <w:r>
        <w:rPr>
          <w:rFonts w:hint="cs"/>
          <w:rtl/>
        </w:rPr>
        <w:t xml:space="preserve">) אשר ניתנה ביום 12.6.2022 </w:t>
      </w:r>
      <w:proofErr w:type="spellStart"/>
      <w:r>
        <w:rPr>
          <w:rFonts w:hint="cs"/>
          <w:rtl/>
        </w:rPr>
        <w:t>בצב"ן</w:t>
      </w:r>
      <w:proofErr w:type="spellEnd"/>
      <w:r>
        <w:rPr>
          <w:rFonts w:hint="cs"/>
          <w:rtl/>
        </w:rPr>
        <w:t xml:space="preserve"> 15999-06-21 </w:t>
      </w:r>
      <w:proofErr w:type="spellStart"/>
      <w:r>
        <w:rPr>
          <w:rFonts w:hint="cs"/>
          <w:rtl/>
        </w:rPr>
        <w:t>ובצב"ן</w:t>
      </w:r>
      <w:proofErr w:type="spellEnd"/>
      <w:r>
        <w:rPr>
          <w:rFonts w:hint="cs"/>
          <w:rtl/>
        </w:rPr>
        <w:t xml:space="preserve"> 41445-07-21, ואשר במסגרתה הורה בית המשפט לנוער על ביצוע </w:t>
      </w:r>
      <w:proofErr w:type="spellStart"/>
      <w:r>
        <w:rPr>
          <w:rFonts w:hint="cs"/>
          <w:rtl/>
        </w:rPr>
        <w:t>מיידי</w:t>
      </w:r>
      <w:proofErr w:type="spellEnd"/>
      <w:r>
        <w:rPr>
          <w:rFonts w:hint="cs"/>
          <w:rtl/>
        </w:rPr>
        <w:t xml:space="preserve"> של צו הביניים שניתן לפי סעיף 12 לחוק הנוער (טיפול והשגחה), התש"ך-1960, ביום 9.11.2021, ולפיו חמישה מבין ילדיהם הקטינים של המבקשים יוצאו למסגרות אבחון זמניות לתקופה בת 30 ימים (להלן: </w:t>
      </w:r>
      <w:r w:rsidRPr="009C5335">
        <w:rPr>
          <w:rFonts w:ascii="Century" w:hAnsi="Century" w:cs="Miriam" w:hint="cs"/>
          <w:b/>
          <w:spacing w:val="0"/>
          <w:sz w:val="22"/>
          <w:szCs w:val="24"/>
          <w:rtl/>
        </w:rPr>
        <w:t>ההחלטה</w:t>
      </w:r>
      <w:r>
        <w:rPr>
          <w:rFonts w:hint="cs"/>
          <w:rtl/>
        </w:rPr>
        <w:t xml:space="preserve">). </w:t>
      </w:r>
    </w:p>
    <w:p w:rsidR="00C912D7" w:rsidRDefault="00C912D7" w:rsidP="00C912D7">
      <w:pPr>
        <w:pStyle w:val="Ruller4"/>
        <w:numPr>
          <w:ilvl w:val="0"/>
          <w:numId w:val="0"/>
        </w:numPr>
        <w:rPr>
          <w:rtl/>
        </w:rPr>
      </w:pPr>
    </w:p>
    <w:p w:rsidR="00C912D7" w:rsidRDefault="00C912D7" w:rsidP="00C912D7">
      <w:pPr>
        <w:pStyle w:val="Ruller4"/>
        <w:numPr>
          <w:ilvl w:val="0"/>
          <w:numId w:val="0"/>
        </w:numPr>
        <w:rPr>
          <w:rtl/>
        </w:rPr>
      </w:pPr>
      <w:r>
        <w:rPr>
          <w:rtl/>
        </w:rPr>
        <w:tab/>
      </w:r>
      <w:r w:rsidRPr="0026619D">
        <w:rPr>
          <w:rFonts w:hint="eastAsia"/>
          <w:rtl/>
        </w:rPr>
        <w:t>בד</w:t>
      </w:r>
      <w:r>
        <w:rPr>
          <w:rFonts w:hint="cs"/>
          <w:rtl/>
        </w:rPr>
        <w:t>-</w:t>
      </w:r>
      <w:r w:rsidRPr="0026619D">
        <w:rPr>
          <w:rFonts w:hint="eastAsia"/>
          <w:rtl/>
        </w:rPr>
        <w:t>בבד</w:t>
      </w:r>
      <w:r w:rsidRPr="0026619D">
        <w:rPr>
          <w:rtl/>
        </w:rPr>
        <w:t xml:space="preserve"> </w:t>
      </w:r>
      <w:r w:rsidRPr="0026619D">
        <w:rPr>
          <w:rFonts w:hint="eastAsia"/>
          <w:rtl/>
        </w:rPr>
        <w:t>עם</w:t>
      </w:r>
      <w:r w:rsidRPr="0026619D">
        <w:rPr>
          <w:rtl/>
        </w:rPr>
        <w:t xml:space="preserve"> </w:t>
      </w:r>
      <w:r w:rsidRPr="0026619D">
        <w:rPr>
          <w:rFonts w:hint="eastAsia"/>
          <w:rtl/>
        </w:rPr>
        <w:t>הבקשה</w:t>
      </w:r>
      <w:r w:rsidRPr="0026619D">
        <w:rPr>
          <w:rtl/>
        </w:rPr>
        <w:t xml:space="preserve"> </w:t>
      </w:r>
      <w:r w:rsidRPr="0026619D">
        <w:rPr>
          <w:rFonts w:hint="eastAsia"/>
          <w:rtl/>
        </w:rPr>
        <w:t>לרשות</w:t>
      </w:r>
      <w:r w:rsidRPr="0026619D">
        <w:rPr>
          <w:rtl/>
        </w:rPr>
        <w:t xml:space="preserve"> </w:t>
      </w:r>
      <w:r w:rsidRPr="0026619D">
        <w:rPr>
          <w:rFonts w:hint="eastAsia"/>
          <w:rtl/>
        </w:rPr>
        <w:t>ערעור</w:t>
      </w:r>
      <w:r w:rsidRPr="0026619D">
        <w:rPr>
          <w:rtl/>
        </w:rPr>
        <w:t xml:space="preserve"> </w:t>
      </w:r>
      <w:r w:rsidRPr="0026619D">
        <w:rPr>
          <w:rFonts w:hint="eastAsia"/>
          <w:rtl/>
        </w:rPr>
        <w:t>הוגשה</w:t>
      </w:r>
      <w:r w:rsidRPr="0026619D">
        <w:rPr>
          <w:rtl/>
        </w:rPr>
        <w:t xml:space="preserve"> </w:t>
      </w:r>
      <w:r w:rsidRPr="0026619D">
        <w:rPr>
          <w:rFonts w:hint="eastAsia"/>
          <w:rtl/>
        </w:rPr>
        <w:t>בקשה</w:t>
      </w:r>
      <w:r w:rsidRPr="0026619D">
        <w:rPr>
          <w:rtl/>
        </w:rPr>
        <w:t xml:space="preserve"> </w:t>
      </w:r>
      <w:r w:rsidRPr="0026619D">
        <w:rPr>
          <w:rFonts w:hint="eastAsia"/>
          <w:rtl/>
        </w:rPr>
        <w:t>לעיכוב</w:t>
      </w:r>
      <w:r w:rsidRPr="0026619D">
        <w:rPr>
          <w:rtl/>
        </w:rPr>
        <w:t xml:space="preserve"> </w:t>
      </w:r>
      <w:r w:rsidRPr="0026619D">
        <w:rPr>
          <w:rFonts w:hint="eastAsia"/>
          <w:rtl/>
        </w:rPr>
        <w:t>ביצוע</w:t>
      </w:r>
      <w:r w:rsidRPr="0026619D">
        <w:rPr>
          <w:rtl/>
        </w:rPr>
        <w:t xml:space="preserve"> </w:t>
      </w:r>
      <w:r>
        <w:rPr>
          <w:rFonts w:hint="cs"/>
          <w:rtl/>
        </w:rPr>
        <w:t>ההחלטה</w:t>
      </w:r>
      <w:r w:rsidRPr="0026619D">
        <w:rPr>
          <w:rtl/>
        </w:rPr>
        <w:t>.</w:t>
      </w:r>
    </w:p>
    <w:p w:rsidR="00C912D7" w:rsidRDefault="00C912D7" w:rsidP="00C912D7">
      <w:pPr>
        <w:pStyle w:val="Ruller40"/>
        <w:rPr>
          <w:rtl/>
        </w:rPr>
      </w:pPr>
    </w:p>
    <w:p w:rsidR="00C912D7" w:rsidRDefault="00C912D7" w:rsidP="00C8030F">
      <w:pPr>
        <w:pStyle w:val="Ruller4"/>
      </w:pPr>
      <w:r>
        <w:rPr>
          <w:rFonts w:hint="cs"/>
          <w:rtl/>
        </w:rPr>
        <w:lastRenderedPageBreak/>
        <w:t xml:space="preserve">ההליכים קמא התנהלו על רקע של ראיות אשר הצביעו, לכאורה </w:t>
      </w:r>
      <w:r>
        <w:rPr>
          <w:rtl/>
        </w:rPr>
        <w:t>–</w:t>
      </w:r>
      <w:r>
        <w:rPr>
          <w:rFonts w:hint="cs"/>
          <w:rtl/>
        </w:rPr>
        <w:t xml:space="preserve"> אם לא למעלה מכך </w:t>
      </w:r>
      <w:r>
        <w:rPr>
          <w:rtl/>
        </w:rPr>
        <w:t>–</w:t>
      </w:r>
      <w:r>
        <w:rPr>
          <w:rFonts w:hint="cs"/>
          <w:rtl/>
        </w:rPr>
        <w:t xml:space="preserve"> </w:t>
      </w:r>
      <w:r w:rsidRPr="00142BBA">
        <w:rPr>
          <w:rFonts w:hint="cs"/>
          <w:rtl/>
        </w:rPr>
        <w:t xml:space="preserve">על בעיות מורכבות שהסתמנו בקשר לרווחתם </w:t>
      </w:r>
      <w:r w:rsidR="00995F66">
        <w:rPr>
          <w:rFonts w:hint="cs"/>
          <w:rtl/>
        </w:rPr>
        <w:t xml:space="preserve">ולתנאי גידולם </w:t>
      </w:r>
      <w:r w:rsidRPr="00142BBA">
        <w:rPr>
          <w:rFonts w:hint="cs"/>
          <w:rtl/>
        </w:rPr>
        <w:t xml:space="preserve">של הקטינים ילדי המבקשים, </w:t>
      </w:r>
      <w:r>
        <w:rPr>
          <w:rFonts w:hint="cs"/>
          <w:rtl/>
        </w:rPr>
        <w:t>אשר סובלים מקשיים התפתחותיים, רגשיים ולימודיים משמעותיים, אינם מגיעים באופן סדור למסגרות החינוך ואינם מקבלים את ה</w:t>
      </w:r>
      <w:r w:rsidR="00CF165B">
        <w:rPr>
          <w:rFonts w:hint="cs"/>
          <w:rtl/>
        </w:rPr>
        <w:t xml:space="preserve">מענה </w:t>
      </w:r>
      <w:r w:rsidR="00C8030F">
        <w:rPr>
          <w:rFonts w:hint="cs"/>
          <w:rtl/>
        </w:rPr>
        <w:t>ההולם</w:t>
      </w:r>
      <w:r w:rsidR="00A07DCC">
        <w:rPr>
          <w:rFonts w:hint="cs"/>
          <w:rtl/>
        </w:rPr>
        <w:t>,</w:t>
      </w:r>
      <w:r w:rsidR="00CF165B">
        <w:rPr>
          <w:rFonts w:hint="cs"/>
          <w:rtl/>
        </w:rPr>
        <w:t xml:space="preserve"> תוך צבירת פערים בינ</w:t>
      </w:r>
      <w:r>
        <w:rPr>
          <w:rFonts w:hint="cs"/>
          <w:rtl/>
        </w:rPr>
        <w:t>ם לבין בני גילם, וכן</w:t>
      </w:r>
      <w:r w:rsidR="00301AEA">
        <w:rPr>
          <w:rFonts w:hint="cs"/>
          <w:rtl/>
        </w:rPr>
        <w:t xml:space="preserve"> על</w:t>
      </w:r>
      <w:r>
        <w:rPr>
          <w:rFonts w:hint="cs"/>
          <w:rtl/>
        </w:rPr>
        <w:t xml:space="preserve"> היעדר שיתוף פעול</w:t>
      </w:r>
      <w:r w:rsidR="00BA1A3A">
        <w:rPr>
          <w:rFonts w:hint="cs"/>
          <w:rtl/>
        </w:rPr>
        <w:t>ה מצד המבקשים עם גורמי הטיפול ו</w:t>
      </w:r>
      <w:r>
        <w:rPr>
          <w:rFonts w:hint="cs"/>
          <w:rtl/>
        </w:rPr>
        <w:t xml:space="preserve">מסגרות </w:t>
      </w:r>
      <w:r w:rsidR="00BA1A3A">
        <w:rPr>
          <w:rFonts w:hint="cs"/>
          <w:rtl/>
        </w:rPr>
        <w:t>החינוך</w:t>
      </w:r>
      <w:r>
        <w:rPr>
          <w:rFonts w:hint="cs"/>
          <w:rtl/>
        </w:rPr>
        <w:t xml:space="preserve">. </w:t>
      </w:r>
    </w:p>
    <w:p w:rsidR="00C912D7" w:rsidRDefault="00C912D7" w:rsidP="00C912D7">
      <w:pPr>
        <w:pStyle w:val="Ruller4"/>
        <w:numPr>
          <w:ilvl w:val="0"/>
          <w:numId w:val="0"/>
        </w:numPr>
      </w:pPr>
    </w:p>
    <w:p w:rsidR="00C912D7" w:rsidRDefault="00C912D7" w:rsidP="00C912D7">
      <w:pPr>
        <w:pStyle w:val="Ruller4"/>
      </w:pPr>
      <w:r>
        <w:rPr>
          <w:rFonts w:hint="cs"/>
          <w:rtl/>
        </w:rPr>
        <w:t xml:space="preserve">לטענת המבקשים, בפסק הדין קמא נפלו טעויות מהותיות בקביעת העובדות המהוות את בסיס ההכרעה. מנגד, סבורה המשיבה כי דין הבקשה לרשות ערעור, ועמה דין הבקשה לעיכוב ביצוע, להידחות בהיעדר עילה מבוררת למתן רשות ערעור "בגלגול שלישי". המבקשת מוסיפה ומדגישה כי אופייה הזמני של ההחלטה אף הוא תומך במסקנה כי אין מקום למתן רשות הערעור המבוקשת. </w:t>
      </w:r>
    </w:p>
    <w:p w:rsidR="00C912D7" w:rsidRDefault="00C912D7" w:rsidP="00C912D7">
      <w:pPr>
        <w:pStyle w:val="Ruller4"/>
        <w:numPr>
          <w:ilvl w:val="0"/>
          <w:numId w:val="0"/>
        </w:numPr>
      </w:pPr>
    </w:p>
    <w:p w:rsidR="00C912D7" w:rsidRDefault="00C912D7" w:rsidP="00C912D7">
      <w:pPr>
        <w:pStyle w:val="Ruller4"/>
      </w:pPr>
      <w:r>
        <w:rPr>
          <w:rFonts w:hint="eastAsia"/>
          <w:rtl/>
        </w:rPr>
        <w:t>מדובר</w:t>
      </w:r>
      <w:r>
        <w:rPr>
          <w:rtl/>
        </w:rPr>
        <w:t xml:space="preserve"> </w:t>
      </w:r>
      <w:r>
        <w:rPr>
          <w:rFonts w:hint="eastAsia"/>
          <w:rtl/>
        </w:rPr>
        <w:t>בבקשת</w:t>
      </w:r>
      <w:r>
        <w:rPr>
          <w:rtl/>
        </w:rPr>
        <w:t xml:space="preserve"> </w:t>
      </w:r>
      <w:r>
        <w:rPr>
          <w:rFonts w:hint="eastAsia"/>
          <w:rtl/>
        </w:rPr>
        <w:t>רשות</w:t>
      </w:r>
      <w:r>
        <w:rPr>
          <w:rtl/>
        </w:rPr>
        <w:t xml:space="preserve"> </w:t>
      </w:r>
      <w:r>
        <w:rPr>
          <w:rFonts w:hint="eastAsia"/>
          <w:rtl/>
        </w:rPr>
        <w:t>ערעור</w:t>
      </w:r>
      <w:r>
        <w:rPr>
          <w:rtl/>
        </w:rPr>
        <w:t xml:space="preserve"> </w:t>
      </w:r>
      <w:r>
        <w:rPr>
          <w:rFonts w:hint="cs"/>
          <w:rtl/>
        </w:rPr>
        <w:t>"</w:t>
      </w:r>
      <w:r>
        <w:rPr>
          <w:rFonts w:hint="eastAsia"/>
          <w:rtl/>
        </w:rPr>
        <w:t>בגלגול</w:t>
      </w:r>
      <w:r>
        <w:rPr>
          <w:rtl/>
        </w:rPr>
        <w:t xml:space="preserve"> </w:t>
      </w:r>
      <w:r>
        <w:rPr>
          <w:rFonts w:hint="eastAsia"/>
          <w:rtl/>
        </w:rPr>
        <w:t>שלישי</w:t>
      </w:r>
      <w:r>
        <w:rPr>
          <w:rtl/>
        </w:rPr>
        <w:t xml:space="preserve">" </w:t>
      </w:r>
      <w:r>
        <w:rPr>
          <w:rFonts w:hint="eastAsia"/>
          <w:rtl/>
        </w:rPr>
        <w:t>אשר</w:t>
      </w:r>
      <w:r>
        <w:rPr>
          <w:rtl/>
        </w:rPr>
        <w:t xml:space="preserve"> </w:t>
      </w:r>
      <w:r>
        <w:rPr>
          <w:rFonts w:hint="eastAsia"/>
          <w:rtl/>
        </w:rPr>
        <w:t>באה</w:t>
      </w:r>
      <w:r>
        <w:rPr>
          <w:rtl/>
        </w:rPr>
        <w:t xml:space="preserve"> </w:t>
      </w:r>
      <w:r>
        <w:rPr>
          <w:rFonts w:hint="eastAsia"/>
          <w:rtl/>
        </w:rPr>
        <w:t>בגדרה</w:t>
      </w:r>
      <w:r>
        <w:rPr>
          <w:rtl/>
        </w:rPr>
        <w:t xml:space="preserve"> </w:t>
      </w:r>
      <w:r>
        <w:rPr>
          <w:rFonts w:hint="eastAsia"/>
          <w:rtl/>
        </w:rPr>
        <w:t>של</w:t>
      </w:r>
      <w:r>
        <w:rPr>
          <w:rtl/>
        </w:rPr>
        <w:t xml:space="preserve"> </w:t>
      </w:r>
      <w:r>
        <w:rPr>
          <w:rFonts w:hint="eastAsia"/>
          <w:rtl/>
        </w:rPr>
        <w:t>תקנה</w:t>
      </w:r>
      <w:r>
        <w:rPr>
          <w:rtl/>
        </w:rPr>
        <w:t xml:space="preserve"> 148</w:t>
      </w:r>
      <w:r>
        <w:rPr>
          <w:rFonts w:hint="eastAsia"/>
          <w:rtl/>
        </w:rPr>
        <w:t>א</w:t>
      </w:r>
      <w:r>
        <w:rPr>
          <w:rtl/>
        </w:rPr>
        <w:t xml:space="preserve"> </w:t>
      </w:r>
      <w:r>
        <w:rPr>
          <w:rFonts w:hint="eastAsia"/>
          <w:rtl/>
        </w:rPr>
        <w:t>לתקנות</w:t>
      </w:r>
      <w:r>
        <w:rPr>
          <w:rtl/>
        </w:rPr>
        <w:t xml:space="preserve"> </w:t>
      </w:r>
      <w:r>
        <w:rPr>
          <w:rFonts w:hint="eastAsia"/>
          <w:rtl/>
        </w:rPr>
        <w:t>סדר</w:t>
      </w:r>
      <w:r>
        <w:rPr>
          <w:rtl/>
        </w:rPr>
        <w:t xml:space="preserve"> </w:t>
      </w:r>
      <w:r>
        <w:rPr>
          <w:rFonts w:hint="eastAsia"/>
          <w:rtl/>
        </w:rPr>
        <w:t>הדין</w:t>
      </w:r>
      <w:r>
        <w:rPr>
          <w:rtl/>
        </w:rPr>
        <w:t xml:space="preserve"> </w:t>
      </w:r>
      <w:r>
        <w:rPr>
          <w:rFonts w:hint="eastAsia"/>
          <w:rtl/>
        </w:rPr>
        <w:t>האזרחי</w:t>
      </w:r>
      <w:r>
        <w:rPr>
          <w:rtl/>
        </w:rPr>
        <w:t xml:space="preserve">, </w:t>
      </w:r>
      <w:r>
        <w:rPr>
          <w:rFonts w:hint="eastAsia"/>
          <w:rtl/>
        </w:rPr>
        <w:t>התשע</w:t>
      </w:r>
      <w:r>
        <w:rPr>
          <w:rtl/>
        </w:rPr>
        <w:t>"</w:t>
      </w:r>
      <w:r>
        <w:rPr>
          <w:rFonts w:hint="eastAsia"/>
          <w:rtl/>
        </w:rPr>
        <w:t>ט</w:t>
      </w:r>
      <w:r>
        <w:rPr>
          <w:rtl/>
        </w:rPr>
        <w:t>-2018 (</w:t>
      </w:r>
      <w:r>
        <w:rPr>
          <w:rFonts w:hint="eastAsia"/>
          <w:rtl/>
        </w:rPr>
        <w:t>להלן</w:t>
      </w:r>
      <w:r>
        <w:rPr>
          <w:rtl/>
        </w:rPr>
        <w:t xml:space="preserve">: </w:t>
      </w:r>
      <w:r w:rsidRPr="00EE7510">
        <w:rPr>
          <w:rFonts w:ascii="Century" w:hAnsi="Century" w:cs="Miriam" w:hint="eastAsia"/>
          <w:b/>
          <w:spacing w:val="0"/>
          <w:sz w:val="22"/>
          <w:szCs w:val="24"/>
          <w:rtl/>
        </w:rPr>
        <w:t>תקנה</w:t>
      </w:r>
      <w:r w:rsidRPr="00EE7510">
        <w:rPr>
          <w:rFonts w:ascii="Century" w:hAnsi="Century" w:cs="Miriam"/>
          <w:b/>
          <w:spacing w:val="0"/>
          <w:sz w:val="22"/>
          <w:szCs w:val="24"/>
          <w:rtl/>
        </w:rPr>
        <w:t xml:space="preserve"> 148</w:t>
      </w:r>
      <w:r w:rsidRPr="00EE7510">
        <w:rPr>
          <w:rFonts w:ascii="Century" w:hAnsi="Century" w:cs="Miriam" w:hint="eastAsia"/>
          <w:b/>
          <w:spacing w:val="0"/>
          <w:sz w:val="22"/>
          <w:szCs w:val="24"/>
          <w:rtl/>
        </w:rPr>
        <w:t>א</w:t>
      </w:r>
      <w:r>
        <w:rPr>
          <w:rtl/>
        </w:rPr>
        <w:t xml:space="preserve">). </w:t>
      </w:r>
    </w:p>
    <w:p w:rsidR="00C912D7" w:rsidRDefault="00C912D7" w:rsidP="00C912D7">
      <w:pPr>
        <w:pStyle w:val="Ruller4"/>
        <w:numPr>
          <w:ilvl w:val="0"/>
          <w:numId w:val="0"/>
        </w:numPr>
      </w:pPr>
    </w:p>
    <w:p w:rsidR="00C912D7" w:rsidRDefault="00C912D7" w:rsidP="00C912D7">
      <w:pPr>
        <w:pStyle w:val="Ruller4"/>
      </w:pPr>
      <w:r>
        <w:rPr>
          <w:rFonts w:hint="eastAsia"/>
          <w:rtl/>
        </w:rPr>
        <w:t>בקשות</w:t>
      </w:r>
      <w:r>
        <w:rPr>
          <w:rtl/>
        </w:rPr>
        <w:t>-</w:t>
      </w:r>
      <w:r>
        <w:rPr>
          <w:rFonts w:hint="eastAsia"/>
          <w:rtl/>
        </w:rPr>
        <w:t>רשות</w:t>
      </w:r>
      <w:r>
        <w:rPr>
          <w:rtl/>
        </w:rPr>
        <w:t>-</w:t>
      </w:r>
      <w:r>
        <w:rPr>
          <w:rFonts w:hint="eastAsia"/>
          <w:rtl/>
        </w:rPr>
        <w:t>ערעור</w:t>
      </w:r>
      <w:r>
        <w:rPr>
          <w:rtl/>
        </w:rPr>
        <w:t xml:space="preserve"> </w:t>
      </w:r>
      <w:r>
        <w:rPr>
          <w:rFonts w:hint="eastAsia"/>
          <w:rtl/>
        </w:rPr>
        <w:t>דוגמת</w:t>
      </w:r>
      <w:r>
        <w:rPr>
          <w:rtl/>
        </w:rPr>
        <w:t xml:space="preserve"> </w:t>
      </w:r>
      <w:r>
        <w:rPr>
          <w:rFonts w:hint="eastAsia"/>
          <w:rtl/>
        </w:rPr>
        <w:t>זאת</w:t>
      </w:r>
      <w:r>
        <w:rPr>
          <w:rtl/>
        </w:rPr>
        <w:t xml:space="preserve"> </w:t>
      </w:r>
      <w:r>
        <w:rPr>
          <w:rFonts w:hint="eastAsia"/>
          <w:rtl/>
        </w:rPr>
        <w:t>שלפניי</w:t>
      </w:r>
      <w:r>
        <w:rPr>
          <w:rtl/>
        </w:rPr>
        <w:t xml:space="preserve"> </w:t>
      </w:r>
      <w:r>
        <w:rPr>
          <w:rFonts w:hint="eastAsia"/>
          <w:rtl/>
        </w:rPr>
        <w:t>ראויות</w:t>
      </w:r>
      <w:r>
        <w:rPr>
          <w:rtl/>
        </w:rPr>
        <w:t xml:space="preserve"> </w:t>
      </w:r>
      <w:r>
        <w:rPr>
          <w:rFonts w:hint="eastAsia"/>
          <w:rtl/>
        </w:rPr>
        <w:t>אמנם</w:t>
      </w:r>
      <w:r>
        <w:rPr>
          <w:rtl/>
        </w:rPr>
        <w:t xml:space="preserve"> </w:t>
      </w:r>
      <w:r>
        <w:rPr>
          <w:rFonts w:hint="eastAsia"/>
          <w:rtl/>
        </w:rPr>
        <w:t>להיבחן</w:t>
      </w:r>
      <w:r>
        <w:rPr>
          <w:rtl/>
        </w:rPr>
        <w:t xml:space="preserve"> </w:t>
      </w:r>
      <w:r>
        <w:rPr>
          <w:rFonts w:hint="eastAsia"/>
          <w:rtl/>
        </w:rPr>
        <w:t>לפי</w:t>
      </w:r>
      <w:r>
        <w:rPr>
          <w:rtl/>
        </w:rPr>
        <w:t xml:space="preserve"> </w:t>
      </w:r>
      <w:r>
        <w:rPr>
          <w:rFonts w:hint="eastAsia"/>
          <w:rtl/>
        </w:rPr>
        <w:t>אמת</w:t>
      </w:r>
      <w:r>
        <w:rPr>
          <w:rtl/>
        </w:rPr>
        <w:t>-</w:t>
      </w:r>
      <w:r>
        <w:rPr>
          <w:rFonts w:hint="eastAsia"/>
          <w:rtl/>
        </w:rPr>
        <w:t>מידה</w:t>
      </w:r>
      <w:r>
        <w:rPr>
          <w:rtl/>
        </w:rPr>
        <w:t xml:space="preserve"> </w:t>
      </w:r>
      <w:r>
        <w:rPr>
          <w:rFonts w:hint="eastAsia"/>
          <w:rtl/>
        </w:rPr>
        <w:t>מקלה</w:t>
      </w:r>
      <w:r>
        <w:rPr>
          <w:rtl/>
        </w:rPr>
        <w:t xml:space="preserve"> </w:t>
      </w:r>
      <w:r>
        <w:rPr>
          <w:rFonts w:hint="eastAsia"/>
          <w:rtl/>
        </w:rPr>
        <w:t>וגמישה</w:t>
      </w:r>
      <w:r>
        <w:rPr>
          <w:rtl/>
        </w:rPr>
        <w:t xml:space="preserve"> </w:t>
      </w:r>
      <w:r>
        <w:rPr>
          <w:rFonts w:hint="eastAsia"/>
          <w:rtl/>
        </w:rPr>
        <w:t>יותר</w:t>
      </w:r>
      <w:r>
        <w:rPr>
          <w:rtl/>
        </w:rPr>
        <w:t xml:space="preserve"> </w:t>
      </w:r>
      <w:r>
        <w:rPr>
          <w:rFonts w:hint="eastAsia"/>
          <w:rtl/>
        </w:rPr>
        <w:t>מהרגיל</w:t>
      </w:r>
      <w:r>
        <w:rPr>
          <w:rtl/>
        </w:rPr>
        <w:t xml:space="preserve"> (</w:t>
      </w:r>
      <w:r>
        <w:rPr>
          <w:rFonts w:hint="eastAsia"/>
          <w:rtl/>
        </w:rPr>
        <w:t>ראו</w:t>
      </w:r>
      <w:r>
        <w:rPr>
          <w:rtl/>
        </w:rPr>
        <w:t xml:space="preserve">: </w:t>
      </w:r>
      <w:r>
        <w:rPr>
          <w:rFonts w:hint="eastAsia"/>
          <w:rtl/>
        </w:rPr>
        <w:t>רע</w:t>
      </w:r>
      <w:r>
        <w:rPr>
          <w:rtl/>
        </w:rPr>
        <w:t>"</w:t>
      </w:r>
      <w:r>
        <w:rPr>
          <w:rFonts w:hint="eastAsia"/>
          <w:rtl/>
        </w:rPr>
        <w:t>א</w:t>
      </w:r>
      <w:r>
        <w:rPr>
          <w:rtl/>
        </w:rPr>
        <w:t xml:space="preserve"> 2736/21 </w:t>
      </w:r>
      <w:r w:rsidRPr="00B3570A">
        <w:rPr>
          <w:rFonts w:ascii="Century" w:hAnsi="Century" w:cs="Miriam" w:hint="eastAsia"/>
          <w:b/>
          <w:spacing w:val="0"/>
          <w:szCs w:val="24"/>
          <w:rtl/>
        </w:rPr>
        <w:t>פקיד</w:t>
      </w:r>
      <w:r w:rsidRPr="00B3570A">
        <w:rPr>
          <w:rFonts w:ascii="Century" w:hAnsi="Century" w:cs="Miriam"/>
          <w:b/>
          <w:spacing w:val="0"/>
          <w:szCs w:val="24"/>
          <w:rtl/>
        </w:rPr>
        <w:t xml:space="preserve"> </w:t>
      </w:r>
      <w:r w:rsidRPr="00B3570A">
        <w:rPr>
          <w:rFonts w:ascii="Century" w:hAnsi="Century" w:cs="Miriam" w:hint="eastAsia"/>
          <w:b/>
          <w:spacing w:val="0"/>
          <w:szCs w:val="24"/>
          <w:rtl/>
        </w:rPr>
        <w:t>סעד</w:t>
      </w:r>
      <w:r w:rsidRPr="00B3570A">
        <w:rPr>
          <w:rFonts w:ascii="Century" w:hAnsi="Century" w:cs="Miriam"/>
          <w:b/>
          <w:spacing w:val="0"/>
          <w:szCs w:val="24"/>
          <w:rtl/>
        </w:rPr>
        <w:t xml:space="preserve"> </w:t>
      </w:r>
      <w:r w:rsidRPr="00B3570A">
        <w:rPr>
          <w:rFonts w:ascii="Century" w:hAnsi="Century" w:cs="Miriam" w:hint="eastAsia"/>
          <w:b/>
          <w:spacing w:val="0"/>
          <w:szCs w:val="24"/>
          <w:rtl/>
        </w:rPr>
        <w:t>לחוק</w:t>
      </w:r>
      <w:r w:rsidRPr="00B3570A">
        <w:rPr>
          <w:rFonts w:ascii="Century" w:hAnsi="Century" w:cs="Miriam"/>
          <w:b/>
          <w:spacing w:val="0"/>
          <w:szCs w:val="24"/>
          <w:rtl/>
        </w:rPr>
        <w:t xml:space="preserve"> </w:t>
      </w:r>
      <w:r w:rsidRPr="00B3570A">
        <w:rPr>
          <w:rFonts w:ascii="Century" w:hAnsi="Century" w:cs="Miriam" w:hint="eastAsia"/>
          <w:b/>
          <w:spacing w:val="0"/>
          <w:szCs w:val="24"/>
          <w:rtl/>
        </w:rPr>
        <w:t>הנוער</w:t>
      </w:r>
      <w:r w:rsidRPr="00B3570A">
        <w:rPr>
          <w:rFonts w:ascii="Century" w:hAnsi="Century" w:cs="Miriam"/>
          <w:b/>
          <w:spacing w:val="0"/>
          <w:szCs w:val="24"/>
          <w:rtl/>
        </w:rPr>
        <w:t xml:space="preserve"> </w:t>
      </w:r>
      <w:r w:rsidRPr="00B3570A">
        <w:rPr>
          <w:rFonts w:ascii="Century" w:hAnsi="Century" w:cs="Miriam" w:hint="eastAsia"/>
          <w:b/>
          <w:spacing w:val="0"/>
          <w:szCs w:val="24"/>
          <w:rtl/>
        </w:rPr>
        <w:t>אזור</w:t>
      </w:r>
      <w:r w:rsidRPr="00B3570A">
        <w:rPr>
          <w:rFonts w:ascii="Century" w:hAnsi="Century" w:cs="Miriam"/>
          <w:b/>
          <w:spacing w:val="0"/>
          <w:szCs w:val="24"/>
          <w:rtl/>
        </w:rPr>
        <w:t xml:space="preserve"> </w:t>
      </w:r>
      <w:r w:rsidRPr="00B3570A">
        <w:rPr>
          <w:rFonts w:ascii="Century" w:hAnsi="Century" w:cs="Miriam" w:hint="eastAsia"/>
          <w:b/>
          <w:spacing w:val="0"/>
          <w:szCs w:val="24"/>
          <w:rtl/>
        </w:rPr>
        <w:t>מערב</w:t>
      </w:r>
      <w:r w:rsidRPr="00B3570A">
        <w:rPr>
          <w:rFonts w:ascii="Century" w:hAnsi="Century" w:cs="Miriam"/>
          <w:b/>
          <w:spacing w:val="0"/>
          <w:szCs w:val="24"/>
          <w:rtl/>
        </w:rPr>
        <w:t xml:space="preserve"> </w:t>
      </w:r>
      <w:r w:rsidRPr="00B3570A">
        <w:rPr>
          <w:rFonts w:ascii="Century" w:hAnsi="Century" w:cs="Miriam" w:hint="eastAsia"/>
          <w:b/>
          <w:spacing w:val="0"/>
          <w:szCs w:val="24"/>
          <w:rtl/>
        </w:rPr>
        <w:t>ירושלים</w:t>
      </w:r>
      <w:r w:rsidRPr="00B3570A">
        <w:rPr>
          <w:rFonts w:ascii="Century" w:hAnsi="Century" w:cs="Miriam"/>
          <w:b/>
          <w:spacing w:val="0"/>
          <w:szCs w:val="24"/>
          <w:rtl/>
        </w:rPr>
        <w:t xml:space="preserve"> </w:t>
      </w:r>
      <w:r w:rsidRPr="00B3570A">
        <w:rPr>
          <w:rFonts w:ascii="Century" w:hAnsi="Century" w:cs="Miriam" w:hint="eastAsia"/>
          <w:b/>
          <w:spacing w:val="0"/>
          <w:szCs w:val="24"/>
          <w:rtl/>
        </w:rPr>
        <w:t>נ</w:t>
      </w:r>
      <w:r w:rsidRPr="00B3570A">
        <w:rPr>
          <w:rFonts w:ascii="Century" w:hAnsi="Century" w:cs="Miriam"/>
          <w:b/>
          <w:spacing w:val="0"/>
          <w:szCs w:val="24"/>
          <w:rtl/>
        </w:rPr>
        <w:t xml:space="preserve">' </w:t>
      </w:r>
      <w:r w:rsidRPr="00B3570A">
        <w:rPr>
          <w:rFonts w:ascii="Century" w:hAnsi="Century" w:cs="Miriam" w:hint="eastAsia"/>
          <w:b/>
          <w:spacing w:val="0"/>
          <w:szCs w:val="24"/>
          <w:rtl/>
        </w:rPr>
        <w:t>פלוני</w:t>
      </w:r>
      <w:r>
        <w:rPr>
          <w:rtl/>
        </w:rPr>
        <w:t xml:space="preserve">, </w:t>
      </w:r>
      <w:r>
        <w:rPr>
          <w:rFonts w:hint="eastAsia"/>
          <w:rtl/>
        </w:rPr>
        <w:t>פסקה</w:t>
      </w:r>
      <w:r>
        <w:rPr>
          <w:rtl/>
        </w:rPr>
        <w:t xml:space="preserve"> 7 </w:t>
      </w:r>
      <w:r>
        <w:rPr>
          <w:rFonts w:hint="eastAsia"/>
          <w:rtl/>
        </w:rPr>
        <w:t>והאסמכתאות</w:t>
      </w:r>
      <w:r>
        <w:rPr>
          <w:rtl/>
        </w:rPr>
        <w:t xml:space="preserve"> </w:t>
      </w:r>
      <w:r>
        <w:rPr>
          <w:rFonts w:hint="eastAsia"/>
          <w:rtl/>
        </w:rPr>
        <w:t>שם</w:t>
      </w:r>
      <w:r>
        <w:rPr>
          <w:rtl/>
        </w:rPr>
        <w:t xml:space="preserve"> (22.4.2021); </w:t>
      </w:r>
      <w:r>
        <w:rPr>
          <w:rFonts w:hint="eastAsia"/>
          <w:rtl/>
        </w:rPr>
        <w:t>בע</w:t>
      </w:r>
      <w:r>
        <w:rPr>
          <w:rtl/>
        </w:rPr>
        <w:t>"</w:t>
      </w:r>
      <w:r>
        <w:rPr>
          <w:rFonts w:hint="eastAsia"/>
          <w:rtl/>
        </w:rPr>
        <w:t>מ</w:t>
      </w:r>
      <w:r>
        <w:rPr>
          <w:rtl/>
        </w:rPr>
        <w:t xml:space="preserve"> 5041/19 </w:t>
      </w:r>
      <w:r w:rsidRPr="00B3570A">
        <w:rPr>
          <w:rFonts w:ascii="Century" w:hAnsi="Century" w:cs="Miriam" w:hint="eastAsia"/>
          <w:b/>
          <w:spacing w:val="0"/>
          <w:szCs w:val="24"/>
          <w:rtl/>
        </w:rPr>
        <w:t>פלונית</w:t>
      </w:r>
      <w:r w:rsidRPr="00B3570A">
        <w:rPr>
          <w:rFonts w:ascii="Century" w:hAnsi="Century" w:cs="Miriam"/>
          <w:b/>
          <w:spacing w:val="0"/>
          <w:szCs w:val="24"/>
          <w:rtl/>
        </w:rPr>
        <w:t xml:space="preserve"> </w:t>
      </w:r>
      <w:r w:rsidRPr="00B3570A">
        <w:rPr>
          <w:rFonts w:ascii="Century" w:hAnsi="Century" w:cs="Miriam" w:hint="eastAsia"/>
          <w:b/>
          <w:spacing w:val="0"/>
          <w:szCs w:val="24"/>
          <w:rtl/>
        </w:rPr>
        <w:t>נ</w:t>
      </w:r>
      <w:r w:rsidRPr="00B3570A">
        <w:rPr>
          <w:rFonts w:ascii="Century" w:hAnsi="Century" w:cs="Miriam"/>
          <w:b/>
          <w:spacing w:val="0"/>
          <w:szCs w:val="24"/>
          <w:rtl/>
        </w:rPr>
        <w:t xml:space="preserve">' </w:t>
      </w:r>
      <w:r w:rsidRPr="00B3570A">
        <w:rPr>
          <w:rFonts w:ascii="Century" w:hAnsi="Century" w:cs="Miriam" w:hint="eastAsia"/>
          <w:b/>
          <w:spacing w:val="0"/>
          <w:szCs w:val="24"/>
          <w:rtl/>
        </w:rPr>
        <w:t>פלונית</w:t>
      </w:r>
      <w:r>
        <w:rPr>
          <w:rtl/>
        </w:rPr>
        <w:t xml:space="preserve">, </w:t>
      </w:r>
      <w:r>
        <w:rPr>
          <w:rFonts w:hint="eastAsia"/>
          <w:rtl/>
        </w:rPr>
        <w:t>פסקה</w:t>
      </w:r>
      <w:r>
        <w:rPr>
          <w:rtl/>
        </w:rPr>
        <w:t xml:space="preserve"> 7 </w:t>
      </w:r>
      <w:r>
        <w:rPr>
          <w:rFonts w:hint="eastAsia"/>
          <w:rtl/>
        </w:rPr>
        <w:t>והאסמכתאות</w:t>
      </w:r>
      <w:r>
        <w:rPr>
          <w:rtl/>
        </w:rPr>
        <w:t xml:space="preserve"> </w:t>
      </w:r>
      <w:r>
        <w:rPr>
          <w:rFonts w:hint="eastAsia"/>
          <w:rtl/>
        </w:rPr>
        <w:t>שם</w:t>
      </w:r>
      <w:r>
        <w:rPr>
          <w:rtl/>
        </w:rPr>
        <w:t xml:space="preserve"> (8.8.2019)). </w:t>
      </w:r>
      <w:r>
        <w:rPr>
          <w:rFonts w:hint="cs"/>
          <w:rtl/>
        </w:rPr>
        <w:t>ברם</w:t>
      </w:r>
      <w:r>
        <w:rPr>
          <w:rtl/>
        </w:rPr>
        <w:t>, "</w:t>
      </w:r>
      <w:r>
        <w:rPr>
          <w:rFonts w:hint="eastAsia"/>
          <w:rtl/>
        </w:rPr>
        <w:t>אין</w:t>
      </w:r>
      <w:r>
        <w:rPr>
          <w:rtl/>
        </w:rPr>
        <w:t xml:space="preserve"> </w:t>
      </w:r>
      <w:r>
        <w:rPr>
          <w:rFonts w:hint="eastAsia"/>
          <w:rtl/>
        </w:rPr>
        <w:t>פירושו</w:t>
      </w:r>
      <w:r>
        <w:rPr>
          <w:rtl/>
        </w:rPr>
        <w:t xml:space="preserve"> </w:t>
      </w:r>
      <w:r>
        <w:rPr>
          <w:rFonts w:hint="eastAsia"/>
          <w:rtl/>
        </w:rPr>
        <w:t>של</w:t>
      </w:r>
      <w:r>
        <w:rPr>
          <w:rtl/>
        </w:rPr>
        <w:t xml:space="preserve"> </w:t>
      </w:r>
      <w:r>
        <w:rPr>
          <w:rFonts w:hint="eastAsia"/>
          <w:rtl/>
        </w:rPr>
        <w:t>דבר</w:t>
      </w:r>
      <w:r>
        <w:rPr>
          <w:rtl/>
        </w:rPr>
        <w:t xml:space="preserve"> </w:t>
      </w:r>
      <w:r>
        <w:rPr>
          <w:rFonts w:hint="eastAsia"/>
          <w:rtl/>
        </w:rPr>
        <w:t>שתינתן</w:t>
      </w:r>
      <w:r>
        <w:rPr>
          <w:rtl/>
        </w:rPr>
        <w:t xml:space="preserve"> </w:t>
      </w:r>
      <w:r>
        <w:rPr>
          <w:rFonts w:hint="eastAsia"/>
          <w:rtl/>
        </w:rPr>
        <w:t>במקרים</w:t>
      </w:r>
      <w:r>
        <w:rPr>
          <w:rtl/>
        </w:rPr>
        <w:t xml:space="preserve"> </w:t>
      </w:r>
      <w:r>
        <w:rPr>
          <w:rFonts w:hint="eastAsia"/>
          <w:rtl/>
        </w:rPr>
        <w:t>אלו</w:t>
      </w:r>
      <w:r>
        <w:rPr>
          <w:rtl/>
        </w:rPr>
        <w:t xml:space="preserve"> </w:t>
      </w:r>
      <w:r>
        <w:rPr>
          <w:rFonts w:hint="eastAsia"/>
          <w:rtl/>
        </w:rPr>
        <w:t>רשות</w:t>
      </w:r>
      <w:r>
        <w:rPr>
          <w:rtl/>
        </w:rPr>
        <w:t xml:space="preserve"> </w:t>
      </w:r>
      <w:r>
        <w:rPr>
          <w:rFonts w:hint="eastAsia"/>
          <w:rtl/>
        </w:rPr>
        <w:t>ערעור</w:t>
      </w:r>
      <w:r>
        <w:rPr>
          <w:rtl/>
        </w:rPr>
        <w:t xml:space="preserve"> </w:t>
      </w:r>
      <w:r>
        <w:rPr>
          <w:rFonts w:hint="eastAsia"/>
          <w:rtl/>
        </w:rPr>
        <w:t>אוטומטית</w:t>
      </w:r>
      <w:r>
        <w:rPr>
          <w:rtl/>
        </w:rPr>
        <w:t xml:space="preserve">, </w:t>
      </w:r>
      <w:r>
        <w:rPr>
          <w:rFonts w:hint="eastAsia"/>
          <w:rtl/>
        </w:rPr>
        <w:t>בבחינת</w:t>
      </w:r>
      <w:r>
        <w:rPr>
          <w:rtl/>
        </w:rPr>
        <w:t xml:space="preserve"> </w:t>
      </w:r>
      <w:r>
        <w:rPr>
          <w:rFonts w:hint="eastAsia"/>
          <w:rtl/>
        </w:rPr>
        <w:t>הפיכת</w:t>
      </w:r>
      <w:r>
        <w:rPr>
          <w:rtl/>
        </w:rPr>
        <w:t xml:space="preserve"> </w:t>
      </w:r>
      <w:r>
        <w:rPr>
          <w:rFonts w:hint="eastAsia"/>
          <w:rtl/>
        </w:rPr>
        <w:t>רשות</w:t>
      </w:r>
      <w:r>
        <w:rPr>
          <w:rtl/>
        </w:rPr>
        <w:t xml:space="preserve"> </w:t>
      </w:r>
      <w:r>
        <w:rPr>
          <w:rFonts w:hint="eastAsia"/>
          <w:rtl/>
        </w:rPr>
        <w:t>ערעור</w:t>
      </w:r>
      <w:r>
        <w:rPr>
          <w:rtl/>
        </w:rPr>
        <w:t xml:space="preserve"> </w:t>
      </w:r>
      <w:r>
        <w:rPr>
          <w:rFonts w:hint="eastAsia"/>
          <w:rtl/>
        </w:rPr>
        <w:t>לערעור</w:t>
      </w:r>
      <w:r>
        <w:rPr>
          <w:rtl/>
        </w:rPr>
        <w:t xml:space="preserve"> </w:t>
      </w:r>
      <w:r>
        <w:rPr>
          <w:rFonts w:hint="eastAsia"/>
          <w:rtl/>
        </w:rPr>
        <w:t>בזכות</w:t>
      </w:r>
      <w:r>
        <w:rPr>
          <w:rtl/>
        </w:rPr>
        <w:t xml:space="preserve"> </w:t>
      </w:r>
      <w:r>
        <w:rPr>
          <w:rFonts w:hint="eastAsia"/>
          <w:rtl/>
        </w:rPr>
        <w:t>והפיכת</w:t>
      </w:r>
      <w:r>
        <w:rPr>
          <w:rtl/>
        </w:rPr>
        <w:t xml:space="preserve"> </w:t>
      </w:r>
      <w:r>
        <w:rPr>
          <w:rFonts w:hint="eastAsia"/>
          <w:rtl/>
        </w:rPr>
        <w:t>היוצא</w:t>
      </w:r>
      <w:r>
        <w:rPr>
          <w:rtl/>
        </w:rPr>
        <w:t xml:space="preserve"> </w:t>
      </w:r>
      <w:r>
        <w:rPr>
          <w:rFonts w:hint="eastAsia"/>
          <w:rtl/>
        </w:rPr>
        <w:t>מן</w:t>
      </w:r>
      <w:r>
        <w:rPr>
          <w:rtl/>
        </w:rPr>
        <w:t xml:space="preserve"> </w:t>
      </w:r>
      <w:r>
        <w:rPr>
          <w:rFonts w:hint="eastAsia"/>
          <w:rtl/>
        </w:rPr>
        <w:t>הכלל</w:t>
      </w:r>
      <w:r>
        <w:rPr>
          <w:rtl/>
        </w:rPr>
        <w:t xml:space="preserve"> </w:t>
      </w:r>
      <w:r>
        <w:rPr>
          <w:rFonts w:hint="eastAsia"/>
          <w:rtl/>
        </w:rPr>
        <w:t>לכלל</w:t>
      </w:r>
      <w:r>
        <w:rPr>
          <w:rtl/>
        </w:rPr>
        <w:t xml:space="preserve"> [...] </w:t>
      </w:r>
      <w:r>
        <w:rPr>
          <w:rFonts w:hint="eastAsia"/>
          <w:rtl/>
        </w:rPr>
        <w:t>ואין</w:t>
      </w:r>
      <w:r>
        <w:rPr>
          <w:rtl/>
        </w:rPr>
        <w:t xml:space="preserve"> </w:t>
      </w:r>
      <w:r>
        <w:rPr>
          <w:rFonts w:hint="eastAsia"/>
          <w:rtl/>
        </w:rPr>
        <w:t>בכך</w:t>
      </w:r>
      <w:r>
        <w:rPr>
          <w:rtl/>
        </w:rPr>
        <w:t xml:space="preserve"> </w:t>
      </w:r>
      <w:r>
        <w:rPr>
          <w:rFonts w:hint="eastAsia"/>
          <w:rtl/>
        </w:rPr>
        <w:t>כדי</w:t>
      </w:r>
      <w:r>
        <w:rPr>
          <w:rtl/>
        </w:rPr>
        <w:t xml:space="preserve"> </w:t>
      </w:r>
      <w:r>
        <w:rPr>
          <w:rFonts w:hint="eastAsia"/>
          <w:rtl/>
        </w:rPr>
        <w:t>להביא</w:t>
      </w:r>
      <w:r>
        <w:rPr>
          <w:rtl/>
        </w:rPr>
        <w:t xml:space="preserve"> </w:t>
      </w:r>
      <w:r>
        <w:rPr>
          <w:rFonts w:hint="eastAsia"/>
          <w:rtl/>
        </w:rPr>
        <w:t>למצב</w:t>
      </w:r>
      <w:r>
        <w:rPr>
          <w:rtl/>
        </w:rPr>
        <w:t xml:space="preserve"> </w:t>
      </w:r>
      <w:r>
        <w:rPr>
          <w:rFonts w:hint="eastAsia"/>
          <w:rtl/>
        </w:rPr>
        <w:t>שבו</w:t>
      </w:r>
      <w:r>
        <w:rPr>
          <w:rtl/>
        </w:rPr>
        <w:t xml:space="preserve"> </w:t>
      </w:r>
      <w:r>
        <w:rPr>
          <w:rFonts w:hint="eastAsia"/>
          <w:rtl/>
        </w:rPr>
        <w:t>הרשות</w:t>
      </w:r>
      <w:r>
        <w:rPr>
          <w:rtl/>
        </w:rPr>
        <w:t xml:space="preserve"> </w:t>
      </w:r>
      <w:r>
        <w:rPr>
          <w:rFonts w:hint="eastAsia"/>
          <w:rtl/>
        </w:rPr>
        <w:t>לערער</w:t>
      </w:r>
      <w:r>
        <w:rPr>
          <w:rtl/>
        </w:rPr>
        <w:t xml:space="preserve"> </w:t>
      </w:r>
      <w:r>
        <w:rPr>
          <w:rFonts w:hint="eastAsia"/>
          <w:rtl/>
        </w:rPr>
        <w:t>ניתנת</w:t>
      </w:r>
      <w:r>
        <w:rPr>
          <w:rtl/>
        </w:rPr>
        <w:t xml:space="preserve"> </w:t>
      </w:r>
      <w:r>
        <w:rPr>
          <w:rFonts w:hint="eastAsia"/>
          <w:rtl/>
        </w:rPr>
        <w:t>אוטומטית</w:t>
      </w:r>
      <w:r>
        <w:rPr>
          <w:rtl/>
        </w:rPr>
        <w:t xml:space="preserve"> </w:t>
      </w:r>
      <w:r>
        <w:rPr>
          <w:rFonts w:hint="eastAsia"/>
          <w:rtl/>
        </w:rPr>
        <w:t>בענייני</w:t>
      </w:r>
      <w:r>
        <w:rPr>
          <w:rtl/>
        </w:rPr>
        <w:t xml:space="preserve"> </w:t>
      </w:r>
      <w:r>
        <w:rPr>
          <w:rFonts w:hint="eastAsia"/>
          <w:rtl/>
        </w:rPr>
        <w:t>הורים</w:t>
      </w:r>
      <w:r>
        <w:rPr>
          <w:rtl/>
        </w:rPr>
        <w:t xml:space="preserve"> </w:t>
      </w:r>
      <w:r>
        <w:rPr>
          <w:rFonts w:hint="eastAsia"/>
          <w:rtl/>
        </w:rPr>
        <w:t>וילדים</w:t>
      </w:r>
      <w:r>
        <w:rPr>
          <w:rtl/>
        </w:rPr>
        <w:t xml:space="preserve">, </w:t>
      </w:r>
      <w:r>
        <w:rPr>
          <w:rFonts w:hint="eastAsia"/>
          <w:rtl/>
        </w:rPr>
        <w:t>בבחינת</w:t>
      </w:r>
      <w:r>
        <w:rPr>
          <w:rtl/>
        </w:rPr>
        <w:t xml:space="preserve"> </w:t>
      </w:r>
      <w:r>
        <w:rPr>
          <w:rFonts w:hint="eastAsia"/>
          <w:rtl/>
        </w:rPr>
        <w:t>יצירת</w:t>
      </w:r>
      <w:r>
        <w:rPr>
          <w:rtl/>
        </w:rPr>
        <w:t xml:space="preserve"> </w:t>
      </w:r>
      <w:r>
        <w:rPr>
          <w:rFonts w:hint="eastAsia"/>
          <w:rtl/>
        </w:rPr>
        <w:t>מסלול</w:t>
      </w:r>
      <w:r>
        <w:rPr>
          <w:rtl/>
        </w:rPr>
        <w:t xml:space="preserve"> </w:t>
      </w:r>
      <w:r>
        <w:rPr>
          <w:rFonts w:hint="eastAsia"/>
          <w:rtl/>
        </w:rPr>
        <w:t>ייחודי</w:t>
      </w:r>
      <w:r>
        <w:rPr>
          <w:rtl/>
        </w:rPr>
        <w:t xml:space="preserve"> </w:t>
      </w:r>
      <w:r>
        <w:rPr>
          <w:rFonts w:hint="eastAsia"/>
          <w:rtl/>
        </w:rPr>
        <w:t>של</w:t>
      </w:r>
      <w:r>
        <w:rPr>
          <w:rtl/>
        </w:rPr>
        <w:t xml:space="preserve"> </w:t>
      </w:r>
      <w:r>
        <w:rPr>
          <w:rFonts w:hint="eastAsia"/>
          <w:rtl/>
        </w:rPr>
        <w:t>ערעור</w:t>
      </w:r>
      <w:r>
        <w:rPr>
          <w:rtl/>
        </w:rPr>
        <w:t xml:space="preserve"> </w:t>
      </w:r>
      <w:r>
        <w:rPr>
          <w:rFonts w:hint="eastAsia"/>
          <w:rtl/>
        </w:rPr>
        <w:t>שני</w:t>
      </w:r>
      <w:r>
        <w:rPr>
          <w:rtl/>
        </w:rPr>
        <w:t xml:space="preserve"> </w:t>
      </w:r>
      <w:r>
        <w:rPr>
          <w:rFonts w:hint="eastAsia"/>
          <w:rtl/>
        </w:rPr>
        <w:t>בזכות</w:t>
      </w:r>
      <w:r>
        <w:rPr>
          <w:rtl/>
        </w:rPr>
        <w:t>" (</w:t>
      </w:r>
      <w:r>
        <w:rPr>
          <w:rFonts w:hint="eastAsia"/>
          <w:rtl/>
        </w:rPr>
        <w:t>ראו</w:t>
      </w:r>
      <w:r>
        <w:rPr>
          <w:rtl/>
        </w:rPr>
        <w:t xml:space="preserve">: </w:t>
      </w:r>
      <w:r>
        <w:rPr>
          <w:rFonts w:hint="eastAsia"/>
          <w:rtl/>
        </w:rPr>
        <w:t>רע</w:t>
      </w:r>
      <w:r>
        <w:rPr>
          <w:rtl/>
        </w:rPr>
        <w:t>"</w:t>
      </w:r>
      <w:r>
        <w:rPr>
          <w:rFonts w:hint="eastAsia"/>
          <w:rtl/>
        </w:rPr>
        <w:t>א</w:t>
      </w:r>
      <w:r>
        <w:rPr>
          <w:rtl/>
        </w:rPr>
        <w:t xml:space="preserve"> 4499/19 </w:t>
      </w:r>
      <w:r w:rsidRPr="00B3570A">
        <w:rPr>
          <w:rFonts w:ascii="Century" w:hAnsi="Century" w:cs="Miriam" w:hint="eastAsia"/>
          <w:b/>
          <w:spacing w:val="0"/>
          <w:szCs w:val="24"/>
          <w:rtl/>
        </w:rPr>
        <w:t>פלוני</w:t>
      </w:r>
      <w:r w:rsidRPr="00B3570A">
        <w:rPr>
          <w:rFonts w:ascii="Century" w:hAnsi="Century" w:cs="Miriam"/>
          <w:b/>
          <w:spacing w:val="0"/>
          <w:szCs w:val="24"/>
          <w:rtl/>
        </w:rPr>
        <w:t xml:space="preserve"> </w:t>
      </w:r>
      <w:r w:rsidRPr="00B3570A">
        <w:rPr>
          <w:rFonts w:ascii="Century" w:hAnsi="Century" w:cs="Miriam" w:hint="eastAsia"/>
          <w:b/>
          <w:spacing w:val="0"/>
          <w:szCs w:val="24"/>
          <w:rtl/>
        </w:rPr>
        <w:t>נ</w:t>
      </w:r>
      <w:r w:rsidRPr="00B3570A">
        <w:rPr>
          <w:rFonts w:ascii="Century" w:hAnsi="Century" w:cs="Miriam"/>
          <w:b/>
          <w:spacing w:val="0"/>
          <w:szCs w:val="24"/>
          <w:rtl/>
        </w:rPr>
        <w:t xml:space="preserve">' </w:t>
      </w:r>
      <w:r w:rsidRPr="00B3570A">
        <w:rPr>
          <w:rFonts w:ascii="Century" w:hAnsi="Century" w:cs="Miriam" w:hint="eastAsia"/>
          <w:b/>
          <w:spacing w:val="0"/>
          <w:szCs w:val="24"/>
          <w:rtl/>
        </w:rPr>
        <w:t>פלונית</w:t>
      </w:r>
      <w:r>
        <w:rPr>
          <w:rtl/>
        </w:rPr>
        <w:t xml:space="preserve">, </w:t>
      </w:r>
      <w:r>
        <w:rPr>
          <w:rFonts w:hint="eastAsia"/>
          <w:rtl/>
        </w:rPr>
        <w:t>פסקה</w:t>
      </w:r>
      <w:r>
        <w:rPr>
          <w:rtl/>
        </w:rPr>
        <w:t xml:space="preserve"> 12 </w:t>
      </w:r>
      <w:r>
        <w:rPr>
          <w:rFonts w:hint="eastAsia"/>
          <w:rtl/>
        </w:rPr>
        <w:t>והאסמכתאות</w:t>
      </w:r>
      <w:r>
        <w:rPr>
          <w:rtl/>
        </w:rPr>
        <w:t xml:space="preserve"> </w:t>
      </w:r>
      <w:r>
        <w:rPr>
          <w:rFonts w:hint="eastAsia"/>
          <w:rtl/>
        </w:rPr>
        <w:t>שם</w:t>
      </w:r>
      <w:r>
        <w:rPr>
          <w:rtl/>
        </w:rPr>
        <w:t xml:space="preserve"> (14.7.2019)).</w:t>
      </w:r>
    </w:p>
    <w:p w:rsidR="00C912D7" w:rsidRDefault="00C912D7" w:rsidP="00C912D7">
      <w:pPr>
        <w:pStyle w:val="Ruller4"/>
        <w:numPr>
          <w:ilvl w:val="0"/>
          <w:numId w:val="0"/>
        </w:numPr>
      </w:pPr>
    </w:p>
    <w:p w:rsidR="00C912D7" w:rsidRDefault="00C912D7" w:rsidP="00C912D7">
      <w:pPr>
        <w:pStyle w:val="Ruller4"/>
        <w:rPr>
          <w:rtl/>
        </w:rPr>
      </w:pPr>
      <w:r>
        <w:rPr>
          <w:rFonts w:hint="eastAsia"/>
          <w:rtl/>
        </w:rPr>
        <w:t>לאחר</w:t>
      </w:r>
      <w:r>
        <w:rPr>
          <w:rtl/>
        </w:rPr>
        <w:t xml:space="preserve"> </w:t>
      </w:r>
      <w:r>
        <w:rPr>
          <w:rFonts w:hint="eastAsia"/>
          <w:rtl/>
        </w:rPr>
        <w:t>עיון</w:t>
      </w:r>
      <w:r>
        <w:rPr>
          <w:rtl/>
        </w:rPr>
        <w:t xml:space="preserve"> </w:t>
      </w:r>
      <w:r>
        <w:rPr>
          <w:rFonts w:hint="eastAsia"/>
          <w:rtl/>
        </w:rPr>
        <w:t>בכתובים</w:t>
      </w:r>
      <w:r>
        <w:rPr>
          <w:rtl/>
        </w:rPr>
        <w:t xml:space="preserve">, </w:t>
      </w:r>
      <w:r>
        <w:rPr>
          <w:rFonts w:hint="eastAsia"/>
          <w:rtl/>
        </w:rPr>
        <w:t>הגעתי</w:t>
      </w:r>
      <w:r>
        <w:rPr>
          <w:rtl/>
        </w:rPr>
        <w:t xml:space="preserve"> </w:t>
      </w:r>
      <w:r>
        <w:rPr>
          <w:rFonts w:hint="eastAsia"/>
          <w:rtl/>
        </w:rPr>
        <w:t>למסקנה</w:t>
      </w:r>
      <w:r>
        <w:rPr>
          <w:rtl/>
        </w:rPr>
        <w:t xml:space="preserve"> </w:t>
      </w:r>
      <w:r>
        <w:rPr>
          <w:rFonts w:hint="eastAsia"/>
          <w:rtl/>
        </w:rPr>
        <w:t>כי</w:t>
      </w:r>
      <w:r>
        <w:rPr>
          <w:rtl/>
        </w:rPr>
        <w:t xml:space="preserve"> </w:t>
      </w:r>
      <w:r>
        <w:rPr>
          <w:rFonts w:hint="eastAsia"/>
          <w:rtl/>
        </w:rPr>
        <w:t>גם</w:t>
      </w:r>
      <w:r>
        <w:rPr>
          <w:rtl/>
        </w:rPr>
        <w:t xml:space="preserve"> </w:t>
      </w:r>
      <w:r>
        <w:rPr>
          <w:rFonts w:hint="eastAsia"/>
          <w:rtl/>
        </w:rPr>
        <w:t>על</w:t>
      </w:r>
      <w:r>
        <w:rPr>
          <w:rtl/>
        </w:rPr>
        <w:t xml:space="preserve"> </w:t>
      </w:r>
      <w:r>
        <w:rPr>
          <w:rFonts w:hint="eastAsia"/>
          <w:rtl/>
        </w:rPr>
        <w:t>פי</w:t>
      </w:r>
      <w:r>
        <w:rPr>
          <w:rtl/>
        </w:rPr>
        <w:t xml:space="preserve"> </w:t>
      </w:r>
      <w:r>
        <w:rPr>
          <w:rFonts w:hint="eastAsia"/>
          <w:rtl/>
        </w:rPr>
        <w:t>אמת</w:t>
      </w:r>
      <w:r>
        <w:rPr>
          <w:rtl/>
        </w:rPr>
        <w:t xml:space="preserve"> </w:t>
      </w:r>
      <w:r>
        <w:rPr>
          <w:rFonts w:hint="eastAsia"/>
          <w:rtl/>
        </w:rPr>
        <w:t>המידה</w:t>
      </w:r>
      <w:r>
        <w:rPr>
          <w:rtl/>
        </w:rPr>
        <w:t xml:space="preserve"> </w:t>
      </w:r>
      <w:r>
        <w:rPr>
          <w:rFonts w:hint="eastAsia"/>
          <w:rtl/>
        </w:rPr>
        <w:t>הגמישה</w:t>
      </w:r>
      <w:r>
        <w:rPr>
          <w:rtl/>
        </w:rPr>
        <w:t xml:space="preserve"> </w:t>
      </w:r>
      <w:r>
        <w:rPr>
          <w:rFonts w:hint="eastAsia"/>
          <w:rtl/>
        </w:rPr>
        <w:t>והמקלה</w:t>
      </w:r>
      <w:r>
        <w:rPr>
          <w:rtl/>
        </w:rPr>
        <w:t xml:space="preserve"> </w:t>
      </w:r>
      <w:r>
        <w:rPr>
          <w:rFonts w:hint="eastAsia"/>
          <w:rtl/>
        </w:rPr>
        <w:t>הנוהגת</w:t>
      </w:r>
      <w:r>
        <w:rPr>
          <w:rtl/>
        </w:rPr>
        <w:t xml:space="preserve"> </w:t>
      </w:r>
      <w:proofErr w:type="spellStart"/>
      <w:r>
        <w:rPr>
          <w:rFonts w:hint="eastAsia"/>
          <w:rtl/>
        </w:rPr>
        <w:t>בכגון</w:t>
      </w:r>
      <w:proofErr w:type="spellEnd"/>
      <w:r>
        <w:rPr>
          <w:rtl/>
        </w:rPr>
        <w:t xml:space="preserve"> </w:t>
      </w:r>
      <w:r>
        <w:rPr>
          <w:rFonts w:hint="eastAsia"/>
          <w:rtl/>
        </w:rPr>
        <w:t>דא</w:t>
      </w:r>
      <w:r>
        <w:rPr>
          <w:rtl/>
        </w:rPr>
        <w:t xml:space="preserve">, </w:t>
      </w:r>
      <w:r>
        <w:rPr>
          <w:rFonts w:hint="eastAsia"/>
          <w:rtl/>
        </w:rPr>
        <w:t>דין</w:t>
      </w:r>
      <w:r>
        <w:rPr>
          <w:rtl/>
        </w:rPr>
        <w:t xml:space="preserve"> </w:t>
      </w:r>
      <w:r>
        <w:rPr>
          <w:rFonts w:hint="eastAsia"/>
          <w:rtl/>
        </w:rPr>
        <w:t>הבקשה</w:t>
      </w:r>
      <w:r>
        <w:rPr>
          <w:rtl/>
        </w:rPr>
        <w:t xml:space="preserve"> </w:t>
      </w:r>
      <w:r>
        <w:rPr>
          <w:rFonts w:hint="eastAsia"/>
          <w:rtl/>
        </w:rPr>
        <w:t>להידחות</w:t>
      </w:r>
      <w:r>
        <w:rPr>
          <w:rtl/>
        </w:rPr>
        <w:t xml:space="preserve">. </w:t>
      </w:r>
    </w:p>
    <w:p w:rsidR="00C912D7" w:rsidRDefault="00C912D7" w:rsidP="00C912D7">
      <w:pPr>
        <w:pStyle w:val="Ruller4"/>
        <w:numPr>
          <w:ilvl w:val="0"/>
          <w:numId w:val="0"/>
        </w:numPr>
        <w:rPr>
          <w:rtl/>
        </w:rPr>
      </w:pPr>
    </w:p>
    <w:p w:rsidR="00C912D7" w:rsidRDefault="00C912D7" w:rsidP="00C912D7">
      <w:pPr>
        <w:pStyle w:val="Ruller4"/>
        <w:rPr>
          <w:rtl/>
        </w:rPr>
      </w:pPr>
      <w:r>
        <w:rPr>
          <w:rFonts w:hint="eastAsia"/>
          <w:rtl/>
        </w:rPr>
        <w:t>ההכרעות</w:t>
      </w:r>
      <w:r>
        <w:rPr>
          <w:rtl/>
        </w:rPr>
        <w:t xml:space="preserve"> </w:t>
      </w:r>
      <w:r>
        <w:rPr>
          <w:rFonts w:hint="eastAsia"/>
          <w:rtl/>
        </w:rPr>
        <w:t>קמא</w:t>
      </w:r>
      <w:r>
        <w:rPr>
          <w:rtl/>
        </w:rPr>
        <w:t xml:space="preserve"> </w:t>
      </w:r>
      <w:r>
        <w:rPr>
          <w:rFonts w:hint="eastAsia"/>
          <w:rtl/>
        </w:rPr>
        <w:t>נטועות</w:t>
      </w:r>
      <w:r>
        <w:rPr>
          <w:rtl/>
        </w:rPr>
        <w:t xml:space="preserve"> </w:t>
      </w:r>
      <w:r>
        <w:rPr>
          <w:rFonts w:hint="eastAsia"/>
          <w:rtl/>
        </w:rPr>
        <w:t>בעובדותיו</w:t>
      </w:r>
      <w:r>
        <w:rPr>
          <w:rtl/>
        </w:rPr>
        <w:t xml:space="preserve"> </w:t>
      </w:r>
      <w:r>
        <w:rPr>
          <w:rFonts w:hint="eastAsia"/>
          <w:rtl/>
        </w:rPr>
        <w:t>הפרטיקולריות</w:t>
      </w:r>
      <w:r>
        <w:rPr>
          <w:rtl/>
        </w:rPr>
        <w:t xml:space="preserve"> </w:t>
      </w:r>
      <w:r>
        <w:rPr>
          <w:rFonts w:hint="eastAsia"/>
          <w:rtl/>
        </w:rPr>
        <w:t>של</w:t>
      </w:r>
      <w:r>
        <w:rPr>
          <w:rtl/>
        </w:rPr>
        <w:t xml:space="preserve"> </w:t>
      </w:r>
      <w:r>
        <w:rPr>
          <w:rFonts w:hint="eastAsia"/>
          <w:rtl/>
        </w:rPr>
        <w:t>המקרה</w:t>
      </w:r>
      <w:r>
        <w:rPr>
          <w:rtl/>
        </w:rPr>
        <w:t xml:space="preserve"> </w:t>
      </w:r>
      <w:r>
        <w:rPr>
          <w:rFonts w:hint="eastAsia"/>
          <w:rtl/>
        </w:rPr>
        <w:t>ואינן</w:t>
      </w:r>
      <w:r>
        <w:rPr>
          <w:rtl/>
        </w:rPr>
        <w:t xml:space="preserve"> </w:t>
      </w:r>
      <w:r>
        <w:rPr>
          <w:rFonts w:hint="eastAsia"/>
          <w:rtl/>
        </w:rPr>
        <w:t>מעוררות</w:t>
      </w:r>
      <w:r>
        <w:rPr>
          <w:rtl/>
        </w:rPr>
        <w:t xml:space="preserve"> </w:t>
      </w:r>
      <w:r>
        <w:rPr>
          <w:rFonts w:hint="eastAsia"/>
          <w:rtl/>
        </w:rPr>
        <w:t>שום</w:t>
      </w:r>
      <w:r>
        <w:rPr>
          <w:rtl/>
        </w:rPr>
        <w:t xml:space="preserve"> </w:t>
      </w:r>
      <w:r>
        <w:rPr>
          <w:rFonts w:hint="eastAsia"/>
          <w:rtl/>
        </w:rPr>
        <w:t>שאלה</w:t>
      </w:r>
      <w:r>
        <w:rPr>
          <w:rtl/>
        </w:rPr>
        <w:t xml:space="preserve"> </w:t>
      </w:r>
      <w:r>
        <w:rPr>
          <w:rFonts w:hint="eastAsia"/>
          <w:rtl/>
        </w:rPr>
        <w:t>משפטית</w:t>
      </w:r>
      <w:r>
        <w:rPr>
          <w:rtl/>
        </w:rPr>
        <w:t xml:space="preserve"> </w:t>
      </w:r>
      <w:r>
        <w:rPr>
          <w:rFonts w:hint="eastAsia"/>
          <w:rtl/>
        </w:rPr>
        <w:t>עקרונית</w:t>
      </w:r>
      <w:r>
        <w:rPr>
          <w:rtl/>
        </w:rPr>
        <w:t xml:space="preserve"> </w:t>
      </w:r>
      <w:r>
        <w:rPr>
          <w:rFonts w:hint="eastAsia"/>
          <w:rtl/>
        </w:rPr>
        <w:t>אשר</w:t>
      </w:r>
      <w:r>
        <w:rPr>
          <w:rtl/>
        </w:rPr>
        <w:t xml:space="preserve"> </w:t>
      </w:r>
      <w:r>
        <w:rPr>
          <w:rFonts w:hint="eastAsia"/>
          <w:rtl/>
        </w:rPr>
        <w:t>חורגת</w:t>
      </w:r>
      <w:r>
        <w:rPr>
          <w:rtl/>
        </w:rPr>
        <w:t xml:space="preserve"> </w:t>
      </w:r>
      <w:r>
        <w:rPr>
          <w:rFonts w:hint="eastAsia"/>
          <w:rtl/>
        </w:rPr>
        <w:t>מעניינם</w:t>
      </w:r>
      <w:r>
        <w:rPr>
          <w:rtl/>
        </w:rPr>
        <w:t xml:space="preserve"> </w:t>
      </w:r>
      <w:r>
        <w:rPr>
          <w:rFonts w:hint="eastAsia"/>
          <w:rtl/>
        </w:rPr>
        <w:t>הפרטני</w:t>
      </w:r>
      <w:r>
        <w:rPr>
          <w:rtl/>
        </w:rPr>
        <w:t xml:space="preserve"> </w:t>
      </w:r>
      <w:r>
        <w:rPr>
          <w:rFonts w:hint="eastAsia"/>
          <w:rtl/>
        </w:rPr>
        <w:t>של</w:t>
      </w:r>
      <w:r>
        <w:rPr>
          <w:rtl/>
        </w:rPr>
        <w:t xml:space="preserve"> </w:t>
      </w:r>
      <w:r>
        <w:rPr>
          <w:rFonts w:hint="eastAsia"/>
          <w:rtl/>
        </w:rPr>
        <w:t>בעלי</w:t>
      </w:r>
      <w:r>
        <w:rPr>
          <w:rtl/>
        </w:rPr>
        <w:t xml:space="preserve"> </w:t>
      </w:r>
      <w:r>
        <w:rPr>
          <w:rFonts w:hint="eastAsia"/>
          <w:rtl/>
        </w:rPr>
        <w:t>הדין</w:t>
      </w:r>
      <w:r>
        <w:rPr>
          <w:rtl/>
        </w:rPr>
        <w:t xml:space="preserve"> </w:t>
      </w:r>
      <w:r>
        <w:rPr>
          <w:rFonts w:hint="eastAsia"/>
          <w:rtl/>
        </w:rPr>
        <w:t>ואשר</w:t>
      </w:r>
      <w:r>
        <w:rPr>
          <w:rtl/>
        </w:rPr>
        <w:t xml:space="preserve"> </w:t>
      </w:r>
      <w:r>
        <w:rPr>
          <w:rFonts w:hint="eastAsia"/>
          <w:rtl/>
        </w:rPr>
        <w:t>ראוי</w:t>
      </w:r>
      <w:r>
        <w:rPr>
          <w:rtl/>
        </w:rPr>
        <w:t xml:space="preserve"> </w:t>
      </w:r>
      <w:r>
        <w:rPr>
          <w:rFonts w:hint="eastAsia"/>
          <w:rtl/>
        </w:rPr>
        <w:t>לה</w:t>
      </w:r>
      <w:r>
        <w:rPr>
          <w:rtl/>
        </w:rPr>
        <w:t xml:space="preserve">, </w:t>
      </w:r>
      <w:r>
        <w:rPr>
          <w:rFonts w:hint="eastAsia"/>
          <w:rtl/>
        </w:rPr>
        <w:t>לפי</w:t>
      </w:r>
      <w:r>
        <w:rPr>
          <w:rtl/>
        </w:rPr>
        <w:t xml:space="preserve"> </w:t>
      </w:r>
      <w:r>
        <w:rPr>
          <w:rFonts w:hint="eastAsia"/>
          <w:rtl/>
        </w:rPr>
        <w:t>טיבה</w:t>
      </w:r>
      <w:r>
        <w:rPr>
          <w:rtl/>
        </w:rPr>
        <w:t xml:space="preserve"> </w:t>
      </w:r>
      <w:r>
        <w:rPr>
          <w:rFonts w:hint="eastAsia"/>
          <w:rtl/>
        </w:rPr>
        <w:t>ומהותה</w:t>
      </w:r>
      <w:r>
        <w:rPr>
          <w:rtl/>
        </w:rPr>
        <w:t xml:space="preserve">, </w:t>
      </w:r>
      <w:r>
        <w:rPr>
          <w:rFonts w:hint="eastAsia"/>
          <w:rtl/>
        </w:rPr>
        <w:t>להתברר</w:t>
      </w:r>
      <w:r>
        <w:rPr>
          <w:rtl/>
        </w:rPr>
        <w:t xml:space="preserve"> </w:t>
      </w:r>
      <w:r>
        <w:rPr>
          <w:rFonts w:hint="eastAsia"/>
          <w:rtl/>
        </w:rPr>
        <w:t>במסגרת</w:t>
      </w:r>
      <w:r>
        <w:rPr>
          <w:rtl/>
        </w:rPr>
        <w:t xml:space="preserve"> </w:t>
      </w:r>
      <w:r>
        <w:rPr>
          <w:rFonts w:hint="eastAsia"/>
          <w:rtl/>
        </w:rPr>
        <w:t>בקשת</w:t>
      </w:r>
      <w:r>
        <w:rPr>
          <w:rtl/>
        </w:rPr>
        <w:t xml:space="preserve"> </w:t>
      </w:r>
      <w:r>
        <w:rPr>
          <w:rFonts w:hint="eastAsia"/>
          <w:rtl/>
        </w:rPr>
        <w:t>רשות</w:t>
      </w:r>
      <w:r>
        <w:rPr>
          <w:rtl/>
        </w:rPr>
        <w:t xml:space="preserve"> </w:t>
      </w:r>
      <w:r>
        <w:rPr>
          <w:rFonts w:hint="eastAsia"/>
          <w:rtl/>
        </w:rPr>
        <w:t>ערעור</w:t>
      </w:r>
      <w:r>
        <w:rPr>
          <w:rtl/>
        </w:rPr>
        <w:t xml:space="preserve"> </w:t>
      </w:r>
      <w:r>
        <w:rPr>
          <w:rFonts w:hint="cs"/>
          <w:rtl/>
        </w:rPr>
        <w:t>"</w:t>
      </w:r>
      <w:r>
        <w:rPr>
          <w:rFonts w:hint="eastAsia"/>
          <w:rtl/>
        </w:rPr>
        <w:t>בגלגול</w:t>
      </w:r>
      <w:r>
        <w:rPr>
          <w:rtl/>
        </w:rPr>
        <w:t xml:space="preserve"> </w:t>
      </w:r>
      <w:r>
        <w:rPr>
          <w:rFonts w:hint="eastAsia"/>
          <w:rtl/>
        </w:rPr>
        <w:t>שלישי</w:t>
      </w:r>
      <w:r>
        <w:rPr>
          <w:rtl/>
        </w:rPr>
        <w:t xml:space="preserve">". </w:t>
      </w:r>
      <w:r>
        <w:rPr>
          <w:rFonts w:hint="cs"/>
          <w:rtl/>
        </w:rPr>
        <w:t>כמו כן לא ניתן לומר כי עיוות דין חמור נגרם בענייננו.</w:t>
      </w:r>
      <w:r>
        <w:rPr>
          <w:rtl/>
        </w:rPr>
        <w:t xml:space="preserve"> </w:t>
      </w:r>
      <w:r>
        <w:rPr>
          <w:rFonts w:hint="eastAsia"/>
          <w:rtl/>
        </w:rPr>
        <w:t>ההכרעות</w:t>
      </w:r>
      <w:r>
        <w:rPr>
          <w:rtl/>
        </w:rPr>
        <w:t xml:space="preserve"> </w:t>
      </w:r>
      <w:r>
        <w:rPr>
          <w:rFonts w:hint="eastAsia"/>
          <w:rtl/>
        </w:rPr>
        <w:t>קמא</w:t>
      </w:r>
      <w:r>
        <w:rPr>
          <w:rtl/>
        </w:rPr>
        <w:t xml:space="preserve"> </w:t>
      </w:r>
      <w:r>
        <w:rPr>
          <w:rFonts w:hint="eastAsia"/>
          <w:rtl/>
        </w:rPr>
        <w:t>הן</w:t>
      </w:r>
      <w:r>
        <w:rPr>
          <w:rtl/>
        </w:rPr>
        <w:t xml:space="preserve"> </w:t>
      </w:r>
      <w:r>
        <w:rPr>
          <w:rFonts w:hint="eastAsia"/>
          <w:rtl/>
        </w:rPr>
        <w:t>הכרעות</w:t>
      </w:r>
      <w:r>
        <w:rPr>
          <w:rtl/>
        </w:rPr>
        <w:t xml:space="preserve"> </w:t>
      </w:r>
      <w:r>
        <w:rPr>
          <w:rFonts w:hint="eastAsia"/>
          <w:rtl/>
        </w:rPr>
        <w:t>שקולות</w:t>
      </w:r>
      <w:r>
        <w:rPr>
          <w:rtl/>
        </w:rPr>
        <w:t xml:space="preserve"> </w:t>
      </w:r>
      <w:r>
        <w:rPr>
          <w:rFonts w:hint="eastAsia"/>
          <w:rtl/>
        </w:rPr>
        <w:t>ומידתיות</w:t>
      </w:r>
      <w:r>
        <w:rPr>
          <w:rFonts w:hint="cs"/>
          <w:rtl/>
        </w:rPr>
        <w:t>,</w:t>
      </w:r>
      <w:r>
        <w:rPr>
          <w:rtl/>
        </w:rPr>
        <w:t xml:space="preserve"> </w:t>
      </w:r>
      <w:r>
        <w:rPr>
          <w:rFonts w:hint="eastAsia"/>
          <w:rtl/>
        </w:rPr>
        <w:t>אשר</w:t>
      </w:r>
      <w:r>
        <w:rPr>
          <w:rtl/>
        </w:rPr>
        <w:t xml:space="preserve"> </w:t>
      </w:r>
      <w:r>
        <w:rPr>
          <w:rFonts w:hint="eastAsia"/>
          <w:rtl/>
        </w:rPr>
        <w:t>גם</w:t>
      </w:r>
      <w:r>
        <w:rPr>
          <w:rtl/>
        </w:rPr>
        <w:t xml:space="preserve"> </w:t>
      </w:r>
      <w:r>
        <w:rPr>
          <w:rFonts w:hint="eastAsia"/>
          <w:rtl/>
        </w:rPr>
        <w:t>אינן</w:t>
      </w:r>
      <w:r>
        <w:rPr>
          <w:rtl/>
        </w:rPr>
        <w:t xml:space="preserve"> </w:t>
      </w:r>
      <w:r>
        <w:rPr>
          <w:rFonts w:hint="eastAsia"/>
          <w:rtl/>
        </w:rPr>
        <w:t>קובעות</w:t>
      </w:r>
      <w:r>
        <w:rPr>
          <w:rtl/>
        </w:rPr>
        <w:t xml:space="preserve"> </w:t>
      </w:r>
      <w:r>
        <w:rPr>
          <w:rFonts w:hint="eastAsia"/>
          <w:rtl/>
        </w:rPr>
        <w:t>מסמרות</w:t>
      </w:r>
      <w:r>
        <w:rPr>
          <w:rtl/>
        </w:rPr>
        <w:t xml:space="preserve"> – </w:t>
      </w:r>
      <w:r>
        <w:rPr>
          <w:rFonts w:hint="eastAsia"/>
          <w:rtl/>
        </w:rPr>
        <w:t>זאת</w:t>
      </w:r>
      <w:r>
        <w:rPr>
          <w:rtl/>
        </w:rPr>
        <w:t xml:space="preserve">, </w:t>
      </w:r>
      <w:r>
        <w:rPr>
          <w:rFonts w:hint="cs"/>
          <w:rtl/>
        </w:rPr>
        <w:t>היות ש</w:t>
      </w:r>
      <w:r>
        <w:rPr>
          <w:rFonts w:hint="eastAsia"/>
          <w:rtl/>
        </w:rPr>
        <w:t>מדובר</w:t>
      </w:r>
      <w:r>
        <w:rPr>
          <w:rtl/>
        </w:rPr>
        <w:t xml:space="preserve"> </w:t>
      </w:r>
      <w:r>
        <w:rPr>
          <w:rFonts w:hint="eastAsia"/>
          <w:rtl/>
        </w:rPr>
        <w:t>בנקיטת</w:t>
      </w:r>
      <w:r>
        <w:rPr>
          <w:rtl/>
        </w:rPr>
        <w:t xml:space="preserve"> </w:t>
      </w:r>
      <w:r>
        <w:rPr>
          <w:rFonts w:hint="eastAsia"/>
          <w:rtl/>
        </w:rPr>
        <w:t>אמצעי</w:t>
      </w:r>
      <w:r>
        <w:rPr>
          <w:rFonts w:hint="cs"/>
          <w:rtl/>
        </w:rPr>
        <w:t xml:space="preserve"> זמני, </w:t>
      </w:r>
      <w:r>
        <w:rPr>
          <w:rFonts w:hint="cs"/>
          <w:rtl/>
        </w:rPr>
        <w:lastRenderedPageBreak/>
        <w:t xml:space="preserve">קצר-מועד </w:t>
      </w:r>
      <w:r>
        <w:rPr>
          <w:rtl/>
        </w:rPr>
        <w:t>–</w:t>
      </w:r>
      <w:r>
        <w:rPr>
          <w:rFonts w:hint="cs"/>
          <w:rtl/>
        </w:rPr>
        <w:t xml:space="preserve"> ובכל הזהירות הראויה, חיוני </w:t>
      </w:r>
      <w:r>
        <w:rPr>
          <w:rtl/>
        </w:rPr>
        <w:t>–</w:t>
      </w:r>
      <w:r>
        <w:rPr>
          <w:rFonts w:hint="cs"/>
          <w:rtl/>
        </w:rPr>
        <w:t xml:space="preserve"> שהשלכותיו אינן בלתי הפיכות. בשים לב לכך שקיים צורך </w:t>
      </w:r>
      <w:proofErr w:type="spellStart"/>
      <w:r>
        <w:rPr>
          <w:rFonts w:hint="cs"/>
          <w:rtl/>
        </w:rPr>
        <w:t>מיידי</w:t>
      </w:r>
      <w:proofErr w:type="spellEnd"/>
      <w:r>
        <w:rPr>
          <w:rFonts w:hint="cs"/>
          <w:rtl/>
        </w:rPr>
        <w:t xml:space="preserve"> באבחונם של הקטינים ובגיבוש מענה טיפולי עבורם, ולכך שניתנה למבקשים הזדמנות נוספת לשנות את התנהלותם באופן מהותי </w:t>
      </w:r>
      <w:r>
        <w:rPr>
          <w:rtl/>
        </w:rPr>
        <w:t>–</w:t>
      </w:r>
      <w:r>
        <w:rPr>
          <w:rFonts w:hint="cs"/>
          <w:rtl/>
        </w:rPr>
        <w:t xml:space="preserve"> כאשר שינוי מעין זה לא חל במידה הנדרשת בפרק הזמן שחלף </w:t>
      </w:r>
      <w:r>
        <w:rPr>
          <w:rtl/>
        </w:rPr>
        <w:t>–</w:t>
      </w:r>
      <w:r>
        <w:rPr>
          <w:rFonts w:hint="cs"/>
          <w:rtl/>
        </w:rPr>
        <w:t xml:space="preserve"> סבורני כי ההכרעות קמא עומדות על יסודות איתנים.</w:t>
      </w:r>
      <w:r>
        <w:rPr>
          <w:rtl/>
        </w:rPr>
        <w:t xml:space="preserve"> </w:t>
      </w:r>
    </w:p>
    <w:p w:rsidR="00C912D7" w:rsidRDefault="00C912D7" w:rsidP="00C912D7">
      <w:pPr>
        <w:pStyle w:val="Ruller4"/>
        <w:numPr>
          <w:ilvl w:val="0"/>
          <w:numId w:val="0"/>
        </w:numPr>
        <w:rPr>
          <w:rtl/>
        </w:rPr>
      </w:pPr>
    </w:p>
    <w:p w:rsidR="00C912D7" w:rsidRDefault="00C912D7" w:rsidP="00C912D7">
      <w:pPr>
        <w:pStyle w:val="Ruller4"/>
        <w:rPr>
          <w:rtl/>
        </w:rPr>
      </w:pPr>
      <w:r>
        <w:rPr>
          <w:rFonts w:hint="eastAsia"/>
          <w:rtl/>
        </w:rPr>
        <w:t>אשר</w:t>
      </w:r>
      <w:r>
        <w:rPr>
          <w:rtl/>
        </w:rPr>
        <w:t xml:space="preserve"> </w:t>
      </w:r>
      <w:r>
        <w:rPr>
          <w:rFonts w:hint="eastAsia"/>
          <w:rtl/>
        </w:rPr>
        <w:t>על</w:t>
      </w:r>
      <w:r>
        <w:rPr>
          <w:rtl/>
        </w:rPr>
        <w:t xml:space="preserve"> </w:t>
      </w:r>
      <w:r>
        <w:rPr>
          <w:rFonts w:hint="eastAsia"/>
          <w:rtl/>
        </w:rPr>
        <w:t>כן</w:t>
      </w:r>
      <w:r>
        <w:rPr>
          <w:rtl/>
        </w:rPr>
        <w:t xml:space="preserve">, </w:t>
      </w:r>
      <w:r>
        <w:rPr>
          <w:rFonts w:hint="cs"/>
          <w:rtl/>
        </w:rPr>
        <w:t xml:space="preserve">אני </w:t>
      </w:r>
      <w:r>
        <w:rPr>
          <w:rFonts w:hint="eastAsia"/>
          <w:rtl/>
        </w:rPr>
        <w:t>דוחה</w:t>
      </w:r>
      <w:r>
        <w:rPr>
          <w:rtl/>
        </w:rPr>
        <w:t xml:space="preserve"> </w:t>
      </w:r>
      <w:r>
        <w:rPr>
          <w:rFonts w:hint="eastAsia"/>
          <w:rtl/>
        </w:rPr>
        <w:t>את</w:t>
      </w:r>
      <w:r>
        <w:rPr>
          <w:rtl/>
        </w:rPr>
        <w:t xml:space="preserve"> </w:t>
      </w:r>
      <w:r>
        <w:rPr>
          <w:rFonts w:hint="eastAsia"/>
          <w:rtl/>
        </w:rPr>
        <w:t>הבקשה</w:t>
      </w:r>
      <w:r>
        <w:rPr>
          <w:rtl/>
        </w:rPr>
        <w:t xml:space="preserve"> </w:t>
      </w:r>
      <w:r>
        <w:rPr>
          <w:rFonts w:hint="eastAsia"/>
          <w:rtl/>
        </w:rPr>
        <w:t>שלפניי</w:t>
      </w:r>
      <w:r>
        <w:rPr>
          <w:rtl/>
        </w:rPr>
        <w:t xml:space="preserve"> </w:t>
      </w:r>
      <w:r>
        <w:rPr>
          <w:rFonts w:hint="eastAsia"/>
          <w:rtl/>
        </w:rPr>
        <w:t>מכוח</w:t>
      </w:r>
      <w:r>
        <w:rPr>
          <w:rtl/>
        </w:rPr>
        <w:t xml:space="preserve"> </w:t>
      </w:r>
      <w:r>
        <w:rPr>
          <w:rFonts w:hint="eastAsia"/>
          <w:rtl/>
        </w:rPr>
        <w:t>סמכותי</w:t>
      </w:r>
      <w:r>
        <w:rPr>
          <w:rtl/>
        </w:rPr>
        <w:t xml:space="preserve"> </w:t>
      </w:r>
      <w:r>
        <w:rPr>
          <w:rFonts w:hint="eastAsia"/>
          <w:rtl/>
        </w:rPr>
        <w:t>לפי</w:t>
      </w:r>
      <w:r>
        <w:rPr>
          <w:rtl/>
        </w:rPr>
        <w:t xml:space="preserve"> </w:t>
      </w:r>
      <w:r>
        <w:rPr>
          <w:rFonts w:hint="eastAsia"/>
          <w:rtl/>
        </w:rPr>
        <w:t>תקנה</w:t>
      </w:r>
      <w:r>
        <w:rPr>
          <w:rtl/>
        </w:rPr>
        <w:t xml:space="preserve"> 148</w:t>
      </w:r>
      <w:r>
        <w:rPr>
          <w:rFonts w:hint="eastAsia"/>
          <w:rtl/>
        </w:rPr>
        <w:t>א</w:t>
      </w:r>
      <w:r>
        <w:rPr>
          <w:rFonts w:hint="cs"/>
          <w:rtl/>
        </w:rPr>
        <w:t>; ועמה נדחית גם הבקשה הנלווית לעיכוב ביצוע</w:t>
      </w:r>
      <w:r>
        <w:rPr>
          <w:rtl/>
        </w:rPr>
        <w:t xml:space="preserve">. </w:t>
      </w:r>
    </w:p>
    <w:p w:rsidR="00C912D7" w:rsidRDefault="00C912D7" w:rsidP="00C912D7">
      <w:pPr>
        <w:pStyle w:val="Ruller4"/>
        <w:numPr>
          <w:ilvl w:val="0"/>
          <w:numId w:val="0"/>
        </w:numPr>
        <w:rPr>
          <w:rtl/>
        </w:rPr>
      </w:pPr>
    </w:p>
    <w:p w:rsidR="00C912D7" w:rsidRDefault="00C912D7" w:rsidP="00C912D7">
      <w:pPr>
        <w:pStyle w:val="Ruller4"/>
        <w:rPr>
          <w:rtl/>
        </w:rPr>
      </w:pPr>
      <w:r>
        <w:rPr>
          <w:rFonts w:hint="cs"/>
          <w:rtl/>
        </w:rPr>
        <w:t>לאור מכלול ה</w:t>
      </w:r>
      <w:r>
        <w:rPr>
          <w:rFonts w:hint="eastAsia"/>
          <w:rtl/>
        </w:rPr>
        <w:t>נסיבות</w:t>
      </w:r>
      <w:r>
        <w:rPr>
          <w:rtl/>
        </w:rPr>
        <w:t xml:space="preserve">, </w:t>
      </w:r>
      <w:r>
        <w:rPr>
          <w:rFonts w:hint="eastAsia"/>
          <w:rtl/>
        </w:rPr>
        <w:t>לא</w:t>
      </w:r>
      <w:r>
        <w:rPr>
          <w:rtl/>
        </w:rPr>
        <w:t xml:space="preserve"> </w:t>
      </w:r>
      <w:r>
        <w:rPr>
          <w:rFonts w:hint="eastAsia"/>
          <w:rtl/>
        </w:rPr>
        <w:t>אעשה</w:t>
      </w:r>
      <w:r>
        <w:rPr>
          <w:rtl/>
        </w:rPr>
        <w:t xml:space="preserve"> </w:t>
      </w:r>
      <w:r>
        <w:rPr>
          <w:rFonts w:hint="eastAsia"/>
          <w:rtl/>
        </w:rPr>
        <w:t>צו</w:t>
      </w:r>
      <w:r>
        <w:rPr>
          <w:rtl/>
        </w:rPr>
        <w:t xml:space="preserve"> </w:t>
      </w:r>
      <w:r>
        <w:rPr>
          <w:rFonts w:hint="eastAsia"/>
          <w:rtl/>
        </w:rPr>
        <w:t>להוצאות</w:t>
      </w:r>
      <w:r>
        <w:rPr>
          <w:rtl/>
        </w:rPr>
        <w:t>.</w:t>
      </w:r>
    </w:p>
    <w:p w:rsidR="00C912D7" w:rsidRPr="00A35626" w:rsidRDefault="00C912D7" w:rsidP="00C912D7">
      <w:pPr>
        <w:pStyle w:val="Ruller40"/>
      </w:pPr>
    </w:p>
    <w:p w:rsidR="000B1478" w:rsidRDefault="00346475" w:rsidP="00FE5C83">
      <w:pPr>
        <w:pStyle w:val="Ruller40"/>
        <w:rPr>
          <w:rtl/>
        </w:rPr>
      </w:pPr>
      <w:r>
        <w:rPr>
          <w:rtl/>
        </w:rPr>
        <w:tab/>
        <w:t xml:space="preserve">ניתנה היום, </w:t>
      </w:r>
      <w:r>
        <w:rPr>
          <w:rFonts w:hint="eastAsia"/>
          <w:rtl/>
        </w:rPr>
        <w:t>‏ל</w:t>
      </w:r>
      <w:r>
        <w:rPr>
          <w:rtl/>
        </w:rPr>
        <w:t xml:space="preserve">' בסיון </w:t>
      </w:r>
      <w:proofErr w:type="spellStart"/>
      <w:r>
        <w:rPr>
          <w:rtl/>
        </w:rPr>
        <w:t>התשפ"ב</w:t>
      </w:r>
      <w:proofErr w:type="spellEnd"/>
      <w:r>
        <w:rPr>
          <w:rtl/>
        </w:rPr>
        <w:t xml:space="preserve"> (</w:t>
      </w:r>
      <w:r>
        <w:rPr>
          <w:rFonts w:hint="eastAsia"/>
          <w:rtl/>
        </w:rPr>
        <w:t>‏</w:t>
      </w:r>
      <w:r>
        <w:rPr>
          <w:rtl/>
        </w:rPr>
        <w:t>29.6.2022).</w:t>
      </w:r>
    </w:p>
    <w:p w:rsidR="00346475" w:rsidRDefault="00346475" w:rsidP="00FE5C83">
      <w:pPr>
        <w:pStyle w:val="Ruller40"/>
        <w:rPr>
          <w:rtl/>
        </w:rPr>
      </w:pPr>
      <w:bookmarkStart w:id="5" w:name="_GoBack"/>
      <w:bookmarkEnd w:id="5"/>
    </w:p>
    <w:p w:rsidR="00C912D7" w:rsidRPr="00C912D7" w:rsidRDefault="00C912D7" w:rsidP="00A51FAE">
      <w:pPr>
        <w:pStyle w:val="Ruller40"/>
        <w:rPr>
          <w:rtl/>
        </w:rPr>
      </w:pPr>
    </w:p>
    <w:tbl>
      <w:tblPr>
        <w:bidiVisual/>
        <w:tblW w:w="8363" w:type="dxa"/>
        <w:tblLook w:val="01E0" w:firstRow="1" w:lastRow="1" w:firstColumn="1" w:lastColumn="1" w:noHBand="0" w:noVBand="0"/>
      </w:tblPr>
      <w:tblGrid>
        <w:gridCol w:w="2786"/>
        <w:gridCol w:w="2787"/>
        <w:gridCol w:w="2790"/>
      </w:tblGrid>
      <w:tr w:rsidR="001A0164" w:rsidTr="00C912D7">
        <w:tc>
          <w:tcPr>
            <w:tcW w:w="2786" w:type="dxa"/>
            <w:shd w:val="clear" w:color="auto" w:fill="auto"/>
          </w:tcPr>
          <w:p w:rsidR="00016EF1" w:rsidRDefault="00016EF1" w:rsidP="00A51FAE">
            <w:pPr>
              <w:pStyle w:val="Ruller40"/>
              <w:rPr>
                <w:rtl/>
              </w:rPr>
            </w:pPr>
          </w:p>
        </w:tc>
        <w:tc>
          <w:tcPr>
            <w:tcW w:w="2787" w:type="dxa"/>
            <w:shd w:val="clear" w:color="auto" w:fill="auto"/>
          </w:tcPr>
          <w:p w:rsidR="001A0164" w:rsidRDefault="001A0164" w:rsidP="00BA0B08">
            <w:pPr>
              <w:pStyle w:val="Ruller40"/>
              <w:jc w:val="center"/>
              <w:rPr>
                <w:rtl/>
              </w:rPr>
            </w:pPr>
          </w:p>
        </w:tc>
        <w:tc>
          <w:tcPr>
            <w:tcW w:w="2790" w:type="dxa"/>
            <w:shd w:val="clear" w:color="auto" w:fill="auto"/>
          </w:tcPr>
          <w:p w:rsidR="001A0164" w:rsidRDefault="00F01D37" w:rsidP="00C912D7">
            <w:pPr>
              <w:pStyle w:val="Ruller40"/>
              <w:jc w:val="right"/>
              <w:rPr>
                <w:rtl/>
              </w:rPr>
            </w:pPr>
            <w:r>
              <w:rPr>
                <w:rtl/>
              </w:rPr>
              <w:t>ש ו פ ט</w:t>
            </w:r>
          </w:p>
        </w:tc>
      </w:tr>
    </w:tbl>
    <w:p w:rsidR="00044953" w:rsidRDefault="00044953" w:rsidP="00A51FAE">
      <w:pPr>
        <w:pStyle w:val="Ruller40"/>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F01D37">
        <w:rPr>
          <w:sz w:val="16"/>
        </w:rPr>
        <w:t xml:space="preserve">22040750_F04.docx   </w:t>
      </w:r>
      <w:r w:rsidR="00F01D37">
        <w:rPr>
          <w:sz w:val="16"/>
          <w:rtl/>
        </w:rPr>
        <w:t>עב</w:t>
      </w:r>
    </w:p>
    <w:p w:rsidR="003F1F97" w:rsidRPr="00782291" w:rsidRDefault="00591983" w:rsidP="00782291">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0C0A71">
        <w:rPr>
          <w:rFonts w:hint="cs"/>
          <w:rtl/>
        </w:rPr>
        <w:t>, 3852*</w:t>
      </w:r>
      <w:r>
        <w:rPr>
          <w:rFonts w:hint="cs"/>
          <w:rtl/>
        </w:rPr>
        <w:t xml:space="preserve"> ; אתר אינטרנט,  </w:t>
      </w:r>
      <w:hyperlink r:id="rId8" w:history="1">
        <w:r w:rsidR="00782291" w:rsidRPr="00BB4C68">
          <w:rPr>
            <w:rStyle w:val="Hyperlink"/>
            <w:sz w:val="16"/>
          </w:rPr>
          <w:t>https://supreme.court.gov.il</w:t>
        </w:r>
      </w:hyperlink>
    </w:p>
    <w:sectPr w:rsidR="003F1F97" w:rsidRPr="00782291"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B3" w:rsidRDefault="00FA21B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346475">
      <w:rPr>
        <w:rStyle w:val="a4"/>
        <w:noProof/>
        <w:rtl/>
      </w:rPr>
      <w:t>2</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1E0" w:firstRow="1" w:lastRow="1" w:firstColumn="1" w:lastColumn="1" w:noHBand="0" w:noVBand="0"/>
    </w:tblPr>
    <w:tblGrid>
      <w:gridCol w:w="8312"/>
    </w:tblGrid>
    <w:tr w:rsidR="00FA21B3" w:rsidTr="00AC2323">
      <w:tc>
        <w:tcPr>
          <w:tcW w:w="8528" w:type="dxa"/>
          <w:shd w:val="clear" w:color="auto" w:fill="auto"/>
        </w:tcPr>
        <w:p w:rsidR="00FA21B3" w:rsidRDefault="00FA21B3" w:rsidP="00FA21B3">
          <w:pPr>
            <w:pStyle w:val="a5"/>
            <w:jc w:val="center"/>
            <w:rPr>
              <w:rtl/>
            </w:rPr>
          </w:pPr>
          <w:r w:rsidRPr="00D745E1">
            <w:rPr>
              <w:b/>
              <w:bCs/>
              <w:noProof/>
              <w:sz w:val="16"/>
              <w:szCs w:val="18"/>
              <w:rtl/>
            </w:rPr>
            <w:drawing>
              <wp:inline distT="0" distB="0" distL="0" distR="0" wp14:anchorId="29F7886E" wp14:editId="1839AA9F">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r w:rsidR="00FA21B3" w:rsidTr="00AC2323">
      <w:trPr>
        <w:trHeight w:val="372"/>
      </w:trPr>
      <w:tc>
        <w:tcPr>
          <w:tcW w:w="8528" w:type="dxa"/>
          <w:shd w:val="clear" w:color="auto" w:fill="auto"/>
        </w:tcPr>
        <w:p w:rsidR="00FA21B3" w:rsidRDefault="00FA21B3" w:rsidP="00FA21B3">
          <w:pPr>
            <w:pStyle w:val="a5"/>
            <w:jc w:val="center"/>
            <w:rPr>
              <w:rtl/>
            </w:rPr>
          </w:pPr>
        </w:p>
      </w:tc>
    </w:tr>
  </w:tbl>
  <w:p w:rsidR="00FA21B3" w:rsidRPr="00B9564F" w:rsidRDefault="00FA21B3" w:rsidP="00FA21B3">
    <w:pPr>
      <w:pStyle w:val="a5"/>
      <w:jc w:val="center"/>
      <w:rPr>
        <w:rtl/>
      </w:rPr>
    </w:pPr>
  </w:p>
  <w:p w:rsidR="00FA21B3" w:rsidRDefault="00FA21B3" w:rsidP="00FA21B3"/>
  <w:p w:rsidR="00045B4D" w:rsidRPr="00FA21B3" w:rsidRDefault="00045B4D" w:rsidP="00FA21B3">
    <w:pPr>
      <w:pStyle w:val="a5"/>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D1E60578">
      <w:start w:val="1"/>
      <w:numFmt w:val="decimal"/>
      <w:pStyle w:val="Ruller4"/>
      <w:lvlText w:val="%1."/>
      <w:lvlJc w:val="left"/>
      <w:pPr>
        <w:tabs>
          <w:tab w:val="num" w:pos="907"/>
        </w:tabs>
        <w:ind w:left="0" w:firstLine="0"/>
      </w:pPr>
      <w:rPr>
        <w:rFonts w:hint="default"/>
      </w:rPr>
    </w:lvl>
    <w:lvl w:ilvl="1" w:tplc="2CBA23A6" w:tentative="1">
      <w:start w:val="1"/>
      <w:numFmt w:val="lowerLetter"/>
      <w:lvlText w:val="%2."/>
      <w:lvlJc w:val="left"/>
      <w:pPr>
        <w:tabs>
          <w:tab w:val="num" w:pos="1440"/>
        </w:tabs>
        <w:ind w:left="1440" w:hanging="360"/>
      </w:pPr>
    </w:lvl>
    <w:lvl w:ilvl="2" w:tplc="0EE4B752" w:tentative="1">
      <w:start w:val="1"/>
      <w:numFmt w:val="lowerRoman"/>
      <w:lvlText w:val="%3."/>
      <w:lvlJc w:val="right"/>
      <w:pPr>
        <w:tabs>
          <w:tab w:val="num" w:pos="2160"/>
        </w:tabs>
        <w:ind w:left="2160" w:hanging="180"/>
      </w:pPr>
    </w:lvl>
    <w:lvl w:ilvl="3" w:tplc="342A98D6" w:tentative="1">
      <w:start w:val="1"/>
      <w:numFmt w:val="decimal"/>
      <w:lvlText w:val="%4."/>
      <w:lvlJc w:val="left"/>
      <w:pPr>
        <w:tabs>
          <w:tab w:val="num" w:pos="2880"/>
        </w:tabs>
        <w:ind w:left="2880" w:hanging="360"/>
      </w:pPr>
    </w:lvl>
    <w:lvl w:ilvl="4" w:tplc="BDD65B1A" w:tentative="1">
      <w:start w:val="1"/>
      <w:numFmt w:val="lowerLetter"/>
      <w:lvlText w:val="%5."/>
      <w:lvlJc w:val="left"/>
      <w:pPr>
        <w:tabs>
          <w:tab w:val="num" w:pos="3600"/>
        </w:tabs>
        <w:ind w:left="3600" w:hanging="360"/>
      </w:pPr>
    </w:lvl>
    <w:lvl w:ilvl="5" w:tplc="69D0A772" w:tentative="1">
      <w:start w:val="1"/>
      <w:numFmt w:val="lowerRoman"/>
      <w:lvlText w:val="%6."/>
      <w:lvlJc w:val="right"/>
      <w:pPr>
        <w:tabs>
          <w:tab w:val="num" w:pos="4320"/>
        </w:tabs>
        <w:ind w:left="4320" w:hanging="180"/>
      </w:pPr>
    </w:lvl>
    <w:lvl w:ilvl="6" w:tplc="3AD0C438" w:tentative="1">
      <w:start w:val="1"/>
      <w:numFmt w:val="decimal"/>
      <w:lvlText w:val="%7."/>
      <w:lvlJc w:val="left"/>
      <w:pPr>
        <w:tabs>
          <w:tab w:val="num" w:pos="5040"/>
        </w:tabs>
        <w:ind w:left="5040" w:hanging="360"/>
      </w:pPr>
    </w:lvl>
    <w:lvl w:ilvl="7" w:tplc="1D0CE060" w:tentative="1">
      <w:start w:val="1"/>
      <w:numFmt w:val="lowerLetter"/>
      <w:lvlText w:val="%8."/>
      <w:lvlJc w:val="left"/>
      <w:pPr>
        <w:tabs>
          <w:tab w:val="num" w:pos="5760"/>
        </w:tabs>
        <w:ind w:left="5760" w:hanging="360"/>
      </w:pPr>
    </w:lvl>
    <w:lvl w:ilvl="8" w:tplc="4C8031C4"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37CDB"/>
    <w:rsid w:val="00044953"/>
    <w:rsid w:val="00045B4D"/>
    <w:rsid w:val="00072AD2"/>
    <w:rsid w:val="000B1478"/>
    <w:rsid w:val="000C0A71"/>
    <w:rsid w:val="000C4690"/>
    <w:rsid w:val="000D25C4"/>
    <w:rsid w:val="00134A67"/>
    <w:rsid w:val="001A0164"/>
    <w:rsid w:val="00200D6B"/>
    <w:rsid w:val="00265F6E"/>
    <w:rsid w:val="002876BF"/>
    <w:rsid w:val="00290051"/>
    <w:rsid w:val="002A4A7A"/>
    <w:rsid w:val="002A4BF3"/>
    <w:rsid w:val="002A7786"/>
    <w:rsid w:val="002F7BB6"/>
    <w:rsid w:val="00301AEA"/>
    <w:rsid w:val="003334A7"/>
    <w:rsid w:val="003448B2"/>
    <w:rsid w:val="00346475"/>
    <w:rsid w:val="00353C28"/>
    <w:rsid w:val="00361DB2"/>
    <w:rsid w:val="0037622E"/>
    <w:rsid w:val="00377102"/>
    <w:rsid w:val="0039709B"/>
    <w:rsid w:val="003D66E3"/>
    <w:rsid w:val="003D72DA"/>
    <w:rsid w:val="003F1F97"/>
    <w:rsid w:val="0041048F"/>
    <w:rsid w:val="004610A4"/>
    <w:rsid w:val="004B29FF"/>
    <w:rsid w:val="004C7868"/>
    <w:rsid w:val="00503A3E"/>
    <w:rsid w:val="00523686"/>
    <w:rsid w:val="00527F02"/>
    <w:rsid w:val="0058440A"/>
    <w:rsid w:val="00591983"/>
    <w:rsid w:val="005F3B38"/>
    <w:rsid w:val="00624A42"/>
    <w:rsid w:val="0065522F"/>
    <w:rsid w:val="006A30F7"/>
    <w:rsid w:val="006C42AD"/>
    <w:rsid w:val="006D4222"/>
    <w:rsid w:val="00741CC0"/>
    <w:rsid w:val="00782291"/>
    <w:rsid w:val="007B512F"/>
    <w:rsid w:val="007F7512"/>
    <w:rsid w:val="00810894"/>
    <w:rsid w:val="008143AB"/>
    <w:rsid w:val="00836667"/>
    <w:rsid w:val="008C2F11"/>
    <w:rsid w:val="008D78B9"/>
    <w:rsid w:val="008E3F85"/>
    <w:rsid w:val="009051E8"/>
    <w:rsid w:val="00914156"/>
    <w:rsid w:val="00916FF8"/>
    <w:rsid w:val="00922093"/>
    <w:rsid w:val="00930C85"/>
    <w:rsid w:val="00962F4D"/>
    <w:rsid w:val="00977E09"/>
    <w:rsid w:val="00995F66"/>
    <w:rsid w:val="009B38DA"/>
    <w:rsid w:val="009C4409"/>
    <w:rsid w:val="009F2F53"/>
    <w:rsid w:val="009F4187"/>
    <w:rsid w:val="00A07DCC"/>
    <w:rsid w:val="00A12E0F"/>
    <w:rsid w:val="00A2428B"/>
    <w:rsid w:val="00A51FAE"/>
    <w:rsid w:val="00A821BF"/>
    <w:rsid w:val="00A84696"/>
    <w:rsid w:val="00AB69F7"/>
    <w:rsid w:val="00AD097B"/>
    <w:rsid w:val="00AD22AE"/>
    <w:rsid w:val="00AD64B9"/>
    <w:rsid w:val="00AE022B"/>
    <w:rsid w:val="00B009CC"/>
    <w:rsid w:val="00B0782A"/>
    <w:rsid w:val="00B62B8C"/>
    <w:rsid w:val="00B63343"/>
    <w:rsid w:val="00BA0B08"/>
    <w:rsid w:val="00BA1A3A"/>
    <w:rsid w:val="00BA42A5"/>
    <w:rsid w:val="00BC0E82"/>
    <w:rsid w:val="00BD40F9"/>
    <w:rsid w:val="00C07D77"/>
    <w:rsid w:val="00C41C86"/>
    <w:rsid w:val="00C63A6C"/>
    <w:rsid w:val="00C8030F"/>
    <w:rsid w:val="00C912D7"/>
    <w:rsid w:val="00CA13AF"/>
    <w:rsid w:val="00CA1444"/>
    <w:rsid w:val="00CB1590"/>
    <w:rsid w:val="00CB528B"/>
    <w:rsid w:val="00CB7600"/>
    <w:rsid w:val="00CC3639"/>
    <w:rsid w:val="00CF165B"/>
    <w:rsid w:val="00D00B1D"/>
    <w:rsid w:val="00D25F16"/>
    <w:rsid w:val="00E21CA9"/>
    <w:rsid w:val="00E31063"/>
    <w:rsid w:val="00E36FE9"/>
    <w:rsid w:val="00E46D58"/>
    <w:rsid w:val="00E5792E"/>
    <w:rsid w:val="00E73E98"/>
    <w:rsid w:val="00E90D72"/>
    <w:rsid w:val="00EC23AC"/>
    <w:rsid w:val="00ED46A4"/>
    <w:rsid w:val="00ED54A6"/>
    <w:rsid w:val="00ED6FD9"/>
    <w:rsid w:val="00EE3810"/>
    <w:rsid w:val="00F01D37"/>
    <w:rsid w:val="00F63C3B"/>
    <w:rsid w:val="00F959DB"/>
    <w:rsid w:val="00FA11BF"/>
    <w:rsid w:val="00FA21B3"/>
    <w:rsid w:val="00FE5C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E9682-DEE1-4B9C-B76E-C92462C4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0">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0"/>
    <w:next w:val="Ruller40"/>
    <w:rsid w:val="00C912D7"/>
    <w:pPr>
      <w:numPr>
        <w:numId w:val="11"/>
      </w:numPr>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2974</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החלטה בתיק בע"מ  4075/22</vt:lpstr>
    </vt:vector>
  </TitlesOfParts>
  <Company/>
  <LinksUpToDate>false</LinksUpToDate>
  <CharactersWithSpaces>3551</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2022-06-29T12:48:01Z</cp:lastPrinted>
  <dcterms:created xsi:type="dcterms:W3CDTF">2022-06-29T12:48:01Z</dcterms:created>
  <dcterms:modified xsi:type="dcterms:W3CDTF">2022-06-29T12:48:01Z</dcterms:modified>
</cp:coreProperties>
</file>